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644" w:rsidRPr="00FF6357" w:rsidRDefault="0025106C" w:rsidP="00F37D7B">
      <w:pPr>
        <w:pStyle w:val="af2"/>
      </w:pPr>
      <w:r w:rsidRPr="00FF6357">
        <w:rPr>
          <w:rFonts w:hint="eastAsia"/>
        </w:rPr>
        <w:t>糾正案文</w:t>
      </w:r>
    </w:p>
    <w:p w:rsidR="00E25849" w:rsidRPr="00FF6357" w:rsidRDefault="0025106C" w:rsidP="00F231DC">
      <w:pPr>
        <w:pStyle w:val="1"/>
      </w:pPr>
      <w:r w:rsidRPr="00FC1F8E">
        <w:rPr>
          <w:rFonts w:hint="eastAsia"/>
          <w:b/>
        </w:rPr>
        <w:t>被糾正機關：</w:t>
      </w:r>
      <w:r w:rsidR="00055F4B">
        <w:rPr>
          <w:rFonts w:hint="eastAsia"/>
        </w:rPr>
        <w:t>臺北市政府</w:t>
      </w:r>
      <w:r w:rsidRPr="00FF6357">
        <w:rPr>
          <w:rFonts w:hint="eastAsia"/>
        </w:rPr>
        <w:t>。</w:t>
      </w:r>
    </w:p>
    <w:p w:rsidR="00E25849" w:rsidRPr="00E06F47" w:rsidRDefault="0025106C" w:rsidP="00FC1F8E">
      <w:pPr>
        <w:pStyle w:val="1"/>
      </w:pPr>
      <w:r w:rsidRPr="00FC1F8E">
        <w:rPr>
          <w:rFonts w:hint="eastAsia"/>
          <w:b/>
        </w:rPr>
        <w:t>案　　　由：</w:t>
      </w:r>
      <w:r w:rsidR="00E06F47" w:rsidRPr="00E06F47">
        <w:rPr>
          <w:rFonts w:hAnsi="標楷體" w:hint="eastAsia"/>
        </w:rPr>
        <w:t>截至</w:t>
      </w:r>
      <w:r w:rsidR="00E06F47">
        <w:rPr>
          <w:rFonts w:hAnsi="標楷體" w:hint="eastAsia"/>
        </w:rPr>
        <w:t>民國</w:t>
      </w:r>
      <w:r w:rsidR="00E06F47" w:rsidRPr="00E06F47">
        <w:rPr>
          <w:rFonts w:hAnsi="標楷體" w:hint="eastAsia"/>
        </w:rPr>
        <w:t>109年4月止，</w:t>
      </w:r>
      <w:r w:rsidR="00E06F47" w:rsidRPr="00E06F47">
        <w:rPr>
          <w:rFonts w:hint="eastAsia"/>
        </w:rPr>
        <w:t>臺北市都市計畫規定不得移作住宅使用之商業區與特定專用區，除大彎北段外，尚有3處206戶涉移作住宅使用且以住家用稅率繳交房屋稅，違反都市計畫土地使用分區管制之規定。</w:t>
      </w:r>
      <w:r w:rsidR="00F46A41">
        <w:rPr>
          <w:rFonts w:hint="eastAsia"/>
        </w:rPr>
        <w:t>大彎北段</w:t>
      </w:r>
      <w:r w:rsidR="00F46A41" w:rsidRPr="005079F1">
        <w:rPr>
          <w:rFonts w:hint="eastAsia"/>
        </w:rPr>
        <w:t>殷鑑猶在，</w:t>
      </w:r>
      <w:r w:rsidR="00F46A41">
        <w:rPr>
          <w:rFonts w:hint="eastAsia"/>
        </w:rPr>
        <w:t>臺北市政</w:t>
      </w:r>
      <w:r w:rsidR="00F46A41" w:rsidRPr="005079F1">
        <w:rPr>
          <w:rFonts w:hint="eastAsia"/>
        </w:rPr>
        <w:t>府對於既有違規案件</w:t>
      </w:r>
      <w:r w:rsidR="00F46A41">
        <w:rPr>
          <w:rFonts w:hint="eastAsia"/>
        </w:rPr>
        <w:t>卻</w:t>
      </w:r>
      <w:r w:rsidR="00F46A41" w:rsidRPr="005079F1">
        <w:rPr>
          <w:rFonts w:hint="eastAsia"/>
        </w:rPr>
        <w:t>遲遲未能</w:t>
      </w:r>
      <w:r w:rsidR="00F46A41">
        <w:rPr>
          <w:rFonts w:hint="eastAsia"/>
        </w:rPr>
        <w:t>履行</w:t>
      </w:r>
      <w:r w:rsidR="00F46A41" w:rsidRPr="005079F1">
        <w:rPr>
          <w:rFonts w:hint="eastAsia"/>
        </w:rPr>
        <w:t>查處，容任違規事實之導正遙遙無期</w:t>
      </w:r>
      <w:r w:rsidR="0056753A" w:rsidRPr="00E06F47">
        <w:rPr>
          <w:rFonts w:hint="eastAsia"/>
        </w:rPr>
        <w:t>，殊有未當</w:t>
      </w:r>
      <w:r w:rsidR="00922059" w:rsidRPr="00E06F47">
        <w:rPr>
          <w:rFonts w:hint="eastAsia"/>
        </w:rPr>
        <w:t>，</w:t>
      </w:r>
      <w:r w:rsidR="008B4841" w:rsidRPr="00E06F47">
        <w:rPr>
          <w:rFonts w:hint="eastAsia"/>
        </w:rPr>
        <w:t>爰依法提案糾正</w:t>
      </w:r>
      <w:r w:rsidRPr="00E06F47">
        <w:rPr>
          <w:rFonts w:hint="eastAsia"/>
        </w:rPr>
        <w:t>。</w:t>
      </w:r>
    </w:p>
    <w:p w:rsidR="00E25849" w:rsidRPr="00FC1F8E" w:rsidRDefault="00DB3135" w:rsidP="00DE42B9">
      <w:pPr>
        <w:pStyle w:val="1"/>
        <w:rPr>
          <w:b/>
        </w:rPr>
      </w:pPr>
      <w:bookmarkStart w:id="0" w:name="_Toc524892370"/>
      <w:bookmarkStart w:id="1" w:name="_Toc524895640"/>
      <w:bookmarkStart w:id="2" w:name="_Toc524896186"/>
      <w:bookmarkStart w:id="3" w:name="_Toc524896216"/>
      <w:bookmarkStart w:id="4" w:name="_Toc524902722"/>
      <w:bookmarkStart w:id="5" w:name="_Toc525066141"/>
      <w:bookmarkStart w:id="6" w:name="_Toc525070831"/>
      <w:bookmarkStart w:id="7" w:name="_Toc525938371"/>
      <w:bookmarkStart w:id="8" w:name="_Toc525939219"/>
      <w:bookmarkStart w:id="9" w:name="_Toc525939724"/>
      <w:bookmarkStart w:id="10" w:name="_Toc529218258"/>
      <w:bookmarkStart w:id="11" w:name="_Toc529222681"/>
      <w:bookmarkStart w:id="12" w:name="_Toc529223103"/>
      <w:bookmarkStart w:id="13" w:name="_Toc529223854"/>
      <w:bookmarkStart w:id="14" w:name="_Toc529228250"/>
      <w:bookmarkStart w:id="15" w:name="_Toc2400386"/>
      <w:bookmarkStart w:id="16" w:name="_Toc4316181"/>
      <w:bookmarkStart w:id="17" w:name="_Toc4473322"/>
      <w:bookmarkStart w:id="18" w:name="_Toc69556889"/>
      <w:bookmarkStart w:id="19" w:name="_Toc69556938"/>
      <w:bookmarkStart w:id="20" w:name="_Toc69609812"/>
      <w:bookmarkStart w:id="21" w:name="_Toc70241808"/>
      <w:bookmarkStart w:id="22" w:name="_Toc70242197"/>
      <w:bookmarkStart w:id="23" w:name="_Toc421794867"/>
      <w:bookmarkStart w:id="24" w:name="_Toc422728949"/>
      <w:r w:rsidRPr="00FC1F8E">
        <w:rPr>
          <w:rFonts w:hint="eastAsia"/>
          <w:b/>
        </w:rPr>
        <w:t>事實與理由：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E06F47" w:rsidRPr="005079F1" w:rsidRDefault="00E06F47" w:rsidP="00E06F47">
      <w:pPr>
        <w:pStyle w:val="10"/>
        <w:ind w:left="680" w:firstLine="680"/>
        <w:rPr>
          <w:rFonts w:hAnsi="標楷體"/>
        </w:rPr>
      </w:pPr>
      <w:bookmarkStart w:id="25" w:name="_Toc524895641"/>
      <w:bookmarkStart w:id="26" w:name="_Toc524896187"/>
      <w:bookmarkStart w:id="27" w:name="_Toc524896217"/>
      <w:bookmarkStart w:id="28" w:name="_Toc525066142"/>
      <w:bookmarkStart w:id="29" w:name="_Toc4316182"/>
      <w:bookmarkStart w:id="30" w:name="_Toc4473323"/>
      <w:bookmarkStart w:id="31" w:name="_Toc69556890"/>
      <w:bookmarkStart w:id="32" w:name="_Toc69556939"/>
      <w:bookmarkStart w:id="33" w:name="_Toc69609813"/>
      <w:bookmarkStart w:id="34" w:name="_Toc70241809"/>
      <w:bookmarkStart w:id="35" w:name="_Toc525070834"/>
      <w:bookmarkStart w:id="36" w:name="_Toc525938374"/>
      <w:bookmarkStart w:id="37" w:name="_Toc525939222"/>
      <w:bookmarkStart w:id="38" w:name="_Toc525939727"/>
      <w:bookmarkStart w:id="39" w:name="_Toc525066144"/>
      <w:bookmarkStart w:id="40" w:name="_Toc524892372"/>
      <w:bookmarkEnd w:id="25"/>
      <w:bookmarkEnd w:id="26"/>
      <w:bookmarkEnd w:id="27"/>
      <w:bookmarkEnd w:id="28"/>
      <w:bookmarkEnd w:id="29"/>
      <w:bookmarkEnd w:id="30"/>
      <w:bookmarkEnd w:id="31"/>
      <w:bookmarkEnd w:id="32"/>
      <w:bookmarkEnd w:id="33"/>
      <w:bookmarkEnd w:id="34"/>
      <w:r w:rsidRPr="005079F1">
        <w:rPr>
          <w:rFonts w:hAnsi="標楷體" w:hint="eastAsia"/>
        </w:rPr>
        <w:t>本院前曾就</w:t>
      </w:r>
      <w:r w:rsidR="00266025">
        <w:rPr>
          <w:rFonts w:hint="eastAsia"/>
        </w:rPr>
        <w:t>臺北市中山區大彎北段商業區及娛樂區違反該市</w:t>
      </w:r>
      <w:r w:rsidRPr="005079F1">
        <w:rPr>
          <w:rFonts w:hint="eastAsia"/>
        </w:rPr>
        <w:t>都市計畫規定移作住宅使用等情，</w:t>
      </w:r>
      <w:r w:rsidRPr="005079F1">
        <w:rPr>
          <w:rFonts w:hAnsi="標楷體" w:hint="eastAsia"/>
        </w:rPr>
        <w:t>於民國（下同）105年間立案調查並糾正臺北市政府（105內正0020）。臺北市政府嗣後雖針對該區持續清查處理，惟審計部臺北市審計處（下稱臺北市審計處）發現，臺北市轄內除大彎北段外，仍有多處商業區與特定專用區</w:t>
      </w:r>
      <w:r>
        <w:rPr>
          <w:rFonts w:hAnsi="標楷體" w:hint="eastAsia"/>
        </w:rPr>
        <w:t>之</w:t>
      </w:r>
      <w:r w:rsidRPr="005079F1">
        <w:rPr>
          <w:rFonts w:hAnsi="標楷體" w:hint="eastAsia"/>
        </w:rPr>
        <w:t>都市計畫亦規範不得移作住宅使用，該府卻未能落實清查</w:t>
      </w:r>
      <w:r w:rsidRPr="005079F1">
        <w:rPr>
          <w:rFonts w:hint="eastAsia"/>
        </w:rPr>
        <w:t>等情，臺北市審計處爰就臺北市政府執行土地違規使用查處作業情形辦理專案查核，嗣於</w:t>
      </w:r>
      <w:r w:rsidRPr="005079F1">
        <w:rPr>
          <w:rFonts w:hAnsi="標楷體" w:hint="eastAsia"/>
        </w:rPr>
        <w:t>「107年度臺北市地方總決算暨附屬單位決算及綜計表審核報告」中，列入審核意見略以：「臺北市部分商業區建築物以住家用申報房屋稅，涉有違規作住宅使用情事。」本院接獲該審核報告後，經交本院地方政府年度總決算審核報告審議小組會議討論，認有深入了解之必要，爰決議推派陳小紅、章仁香及仉桂美三位委員調查。</w:t>
      </w:r>
    </w:p>
    <w:p w:rsidR="00B83C6B" w:rsidRDefault="00E06F47" w:rsidP="00E06F47">
      <w:pPr>
        <w:spacing w:afterLines="50" w:after="228" w:line="480" w:lineRule="exact"/>
        <w:ind w:leftChars="200" w:left="680" w:firstLineChars="200" w:firstLine="680"/>
        <w:rPr>
          <w:rFonts w:hAnsi="標楷體"/>
          <w:spacing w:val="-6"/>
        </w:rPr>
      </w:pPr>
      <w:r w:rsidRPr="005079F1">
        <w:rPr>
          <w:rFonts w:hAnsi="標楷體" w:hint="eastAsia"/>
        </w:rPr>
        <w:t>案經函請審計部及臺北市政府查復說明，嗣於109</w:t>
      </w:r>
      <w:r w:rsidRPr="005079F1">
        <w:rPr>
          <w:rFonts w:hAnsi="標楷體" w:hint="eastAsia"/>
        </w:rPr>
        <w:lastRenderedPageBreak/>
        <w:t>年3月9日至臺北市政府聽取簡報，並與該府副秘書長、都市發展局（下稱都發局）、該市建築管理工程處（下稱建管處）、民政局、地政局、稅捐稽徵處等相關主管人員座談，並由都發局與建管處相關人員陪同前往現地履勘，再請該府補充資料</w:t>
      </w:r>
      <w:r w:rsidR="007E6EF5" w:rsidRPr="00FF6357">
        <w:rPr>
          <w:rFonts w:hAnsi="標楷體" w:hint="eastAsia"/>
        </w:rPr>
        <w:t>到院</w:t>
      </w:r>
      <w:r w:rsidR="00233625" w:rsidRPr="00FF6357">
        <w:rPr>
          <w:rFonts w:hAnsi="標楷體" w:hint="eastAsia"/>
          <w:szCs w:val="32"/>
        </w:rPr>
        <w:t>。</w:t>
      </w:r>
      <w:r w:rsidR="00233625" w:rsidRPr="00854CB3">
        <w:rPr>
          <w:rFonts w:hAnsi="標楷體" w:hint="eastAsia"/>
          <w:szCs w:val="32"/>
        </w:rPr>
        <w:t>經調查發現，</w:t>
      </w:r>
      <w:r>
        <w:rPr>
          <w:rFonts w:hAnsi="標楷體" w:hint="eastAsia"/>
          <w:szCs w:val="32"/>
        </w:rPr>
        <w:t>臺北市政府涉</w:t>
      </w:r>
      <w:r w:rsidR="001542E3" w:rsidRPr="00854CB3">
        <w:rPr>
          <w:rFonts w:hAnsi="標楷體" w:hint="eastAsia"/>
          <w:szCs w:val="32"/>
        </w:rPr>
        <w:t>有違失，應予糾正促其注意改善</w:t>
      </w:r>
      <w:r w:rsidR="007666F5" w:rsidRPr="00854CB3">
        <w:rPr>
          <w:rFonts w:hint="eastAsia"/>
          <w:bCs/>
        </w:rPr>
        <w:t>。</w:t>
      </w:r>
      <w:r w:rsidR="007666F5" w:rsidRPr="00FF6357">
        <w:rPr>
          <w:rFonts w:hint="eastAsia"/>
          <w:bCs/>
        </w:rPr>
        <w:t>茲臚列事實與理由如下</w:t>
      </w:r>
      <w:r w:rsidR="00B83C6B" w:rsidRPr="00FF6357">
        <w:rPr>
          <w:rFonts w:hAnsi="標楷體" w:hint="eastAsia"/>
          <w:spacing w:val="-6"/>
        </w:rPr>
        <w:t>：</w:t>
      </w:r>
    </w:p>
    <w:p w:rsidR="00FC1F8E" w:rsidRPr="00FF6357" w:rsidRDefault="00FC1F8E" w:rsidP="00FC1F8E">
      <w:pPr>
        <w:spacing w:afterLines="50" w:after="228" w:line="480" w:lineRule="exact"/>
        <w:ind w:leftChars="200" w:left="680"/>
        <w:rPr>
          <w:rFonts w:hAnsi="標楷體"/>
          <w:spacing w:val="-6"/>
        </w:rPr>
      </w:pPr>
      <w:r w:rsidRPr="004F5740">
        <w:rPr>
          <w:rFonts w:hAnsi="標楷體" w:hint="eastAsia"/>
          <w:b/>
        </w:rPr>
        <w:t>截至109年4月止，</w:t>
      </w:r>
      <w:r w:rsidRPr="004F5740">
        <w:rPr>
          <w:rFonts w:hint="eastAsia"/>
          <w:b/>
        </w:rPr>
        <w:t>臺北市都市計畫規定不得移作住宅使用之商業區與特定專用區，除大彎北段外，尚有3處206戶涉移作住宅使用且以住家用稅率繳交房屋稅，違反都市計畫土地使用分區管制之規定。臺北市政府雖辯稱人力有限，將俟大彎北段與內湖五期專案查處作業辦理完竣後，再依序訂定其他地區處理期程云云。</w:t>
      </w:r>
      <w:r>
        <w:rPr>
          <w:rFonts w:hint="eastAsia"/>
          <w:b/>
        </w:rPr>
        <w:t>惟</w:t>
      </w:r>
      <w:r w:rsidRPr="004F5740">
        <w:rPr>
          <w:rFonts w:hint="eastAsia"/>
          <w:b/>
        </w:rPr>
        <w:t>鑑於各處違規使用之性質與強度不一，大彎北段都市計畫檢討案</w:t>
      </w:r>
      <w:r w:rsidR="001A11BC">
        <w:rPr>
          <w:rFonts w:hint="eastAsia"/>
          <w:b/>
        </w:rPr>
        <w:t>內政部</w:t>
      </w:r>
      <w:r w:rsidRPr="004F5740">
        <w:rPr>
          <w:rFonts w:hint="eastAsia"/>
          <w:b/>
        </w:rPr>
        <w:t>何時審議通過亦無定論，相關查處作業又非短期所能竣事，再三延宕的結果，違規使用情形將可能持續增加，平添日後處理之複雜度。大彎北段殷鑑猶在，臺北市政府對於既有違規案件卻遲遲未能履行查處，容任違規事實之導正遙遙無期，殊有未當。</w:t>
      </w:r>
    </w:p>
    <w:p w:rsidR="00F46A41" w:rsidRPr="00F46A41" w:rsidRDefault="00F46A41" w:rsidP="00F46A41">
      <w:pPr>
        <w:pStyle w:val="2"/>
        <w:rPr>
          <w:b w:val="0"/>
        </w:rPr>
      </w:pPr>
      <w:bookmarkStart w:id="41" w:name="_Toc524895646"/>
      <w:bookmarkStart w:id="42" w:name="_Toc524896192"/>
      <w:bookmarkStart w:id="43" w:name="_Toc524896222"/>
      <w:bookmarkStart w:id="44" w:name="_Toc524902729"/>
      <w:bookmarkStart w:id="45" w:name="_Toc525066145"/>
      <w:bookmarkStart w:id="46" w:name="_Toc525070836"/>
      <w:bookmarkStart w:id="47" w:name="_Toc525938376"/>
      <w:bookmarkStart w:id="48" w:name="_Toc525939224"/>
      <w:bookmarkStart w:id="49" w:name="_Toc525939729"/>
      <w:bookmarkStart w:id="50" w:name="_Toc529218269"/>
      <w:bookmarkEnd w:id="35"/>
      <w:bookmarkEnd w:id="36"/>
      <w:bookmarkEnd w:id="37"/>
      <w:bookmarkEnd w:id="38"/>
      <w:bookmarkEnd w:id="39"/>
      <w:bookmarkEnd w:id="40"/>
      <w:r w:rsidRPr="00F46A41">
        <w:rPr>
          <w:rFonts w:hint="eastAsia"/>
          <w:b w:val="0"/>
        </w:rPr>
        <w:t>按「都市計畫法」第32條規定：「（第1項）都市計畫得劃定住宅、商業、工業等使用區，並得視實際情況，劃定其他使用區域或特定專用區。（第2項）前項各使用區，得視實際需要，再予劃分，分別予以不同程度之使用管制。」第35條規定：「商業區為促進商業發展而劃定，其土地及建築物之使用，不得有礙商業之便利。」第79條第1項規定：「都市計畫範圍內土地或建築物之使用，……，違反本法或內政部、直轄市、縣（市）（局）政府依本法所發布之命令者，當地地</w:t>
      </w:r>
      <w:r w:rsidRPr="00F46A41">
        <w:rPr>
          <w:rFonts w:hint="eastAsia"/>
          <w:b w:val="0"/>
        </w:rPr>
        <w:lastRenderedPageBreak/>
        <w:t>方政府或鄉、鎮、縣轄市公所得處其土地或建築物所有權人、使用人或管理人新臺幣6萬元以上30萬元以下罰鍰，並勒令拆除、改建、停止使用或恢復原狀。不拆除、改建、停止使用或恢復原狀者，得按次處罰，並停止供水、供電、封閉、強制拆除或採取其他恢復原狀之措施，其費用由土地或建築物所有權人、使用人或管理人負擔。」次按「臺北市都市計畫施行自治條例」第10條之1第2款規定，其商業區係「以建築商場（店）及供商業使用之建築物為主，不得為有礙商業之便利、發展或妨礙公共安全、衛生之使用。」第25條規定：「都市計畫地區內，市政府認為土地有合理使用之必要時，得擬定細部計畫規定地區內土地及建築物之使用……」第26條規定：「市政府得依本法第32條第2項規定將使用分區用建築物及土地之使用再予劃分不同程序之使用管制，並另訂土地使用分區管制自治條例管理。」</w:t>
      </w:r>
    </w:p>
    <w:p w:rsidR="00413549" w:rsidRPr="00F46A41" w:rsidRDefault="00F46A41" w:rsidP="00F46A41">
      <w:pPr>
        <w:pStyle w:val="2"/>
      </w:pPr>
      <w:r w:rsidRPr="00F46A41">
        <w:rPr>
          <w:rFonts w:hint="eastAsia"/>
          <w:b w:val="0"/>
        </w:rPr>
        <w:t>查本院前就臺北市中山區大彎北段商業區及娛樂區違反該區都市計畫規定移作住宅使用等情，於105年間立案調查並糾正臺北市政府（105內正0020）。惟臺北市都市計畫規定不得移作住宅使用之商業區與特定專用區，除大彎北段地區外，仍有士林官邸北側、信義計畫特定專用區、內湖區舊宗段、南港區向陽段、南港區鐵</w:t>
      </w:r>
      <w:r w:rsidR="00581957">
        <w:rPr>
          <w:rFonts w:hint="eastAsia"/>
          <w:b w:val="0"/>
        </w:rPr>
        <w:t>路</w:t>
      </w:r>
      <w:r w:rsidRPr="00F46A41">
        <w:rPr>
          <w:rFonts w:hint="eastAsia"/>
          <w:b w:val="0"/>
        </w:rPr>
        <w:t>地下化沿線（瓶蓋工廠）、南港車站特定專用區、南港經貿園區、中山區長春段、松山區京華城、內湖區潭美段（俗稱內湖五期特定專用區）、松南營區及華光社區等12處（其等坐落位置請參見圖1）。臺北市審計處於107年間藉由臺北市稅捐稽徵處所提供之房屋稅課稅資料進行勾稽，發現其中5處合計690戶係以住家用稅率繳交房屋稅，嗣經臺北市政府進行相關查處作業後，截至109年4月15日止，尚餘</w:t>
      </w:r>
      <w:r w:rsidRPr="00F46A41">
        <w:rPr>
          <w:rFonts w:hint="eastAsia"/>
          <w:b w:val="0"/>
        </w:rPr>
        <w:lastRenderedPageBreak/>
        <w:t>內湖區舊宗段、內湖區潭美段（內湖五期）、南港區向陽段等3處合計206戶仍係以住家用稅率繳納房屋稅，涉有違規移作住宅使用之情事（臺北市政府查處結果如表1）。</w:t>
      </w:r>
    </w:p>
    <w:p w:rsidR="00F46A41" w:rsidRDefault="00F46A41" w:rsidP="00F46A41">
      <w:pPr>
        <w:pStyle w:val="2"/>
        <w:numPr>
          <w:ilvl w:val="0"/>
          <w:numId w:val="0"/>
        </w:numPr>
        <w:rPr>
          <w:b w:val="0"/>
        </w:rPr>
        <w:sectPr w:rsidR="00F46A41" w:rsidSect="00931A10">
          <w:footerReference w:type="default" r:id="rId9"/>
          <w:pgSz w:w="11907" w:h="16840" w:code="9"/>
          <w:pgMar w:top="1701" w:right="1418" w:bottom="1418" w:left="1418" w:header="851" w:footer="851" w:gutter="227"/>
          <w:pgNumType w:start="1"/>
          <w:cols w:space="425"/>
          <w:docGrid w:type="linesAndChars" w:linePitch="457" w:charSpace="4127"/>
        </w:sectPr>
      </w:pPr>
    </w:p>
    <w:p w:rsidR="00F46A41" w:rsidRDefault="00F46A41" w:rsidP="00F46A41">
      <w:pPr>
        <w:pStyle w:val="2"/>
        <w:numPr>
          <w:ilvl w:val="0"/>
          <w:numId w:val="0"/>
        </w:numPr>
        <w:jc w:val="center"/>
        <w:rPr>
          <w:b w:val="0"/>
        </w:rPr>
      </w:pPr>
      <w:r>
        <w:rPr>
          <w:rFonts w:hint="eastAsia"/>
          <w:noProof/>
        </w:rPr>
        <w:lastRenderedPageBreak/>
        <w:drawing>
          <wp:inline distT="0" distB="0" distL="0" distR="0" wp14:anchorId="048FB552" wp14:editId="182BC6CF">
            <wp:extent cx="8153265" cy="5579497"/>
            <wp:effectExtent l="0" t="0" r="0" b="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圖片1.tif"/>
                    <pic:cNvPicPr/>
                  </pic:nvPicPr>
                  <pic:blipFill rotWithShape="1">
                    <a:blip r:embed="rId10">
                      <a:extLst>
                        <a:ext uri="{28A0092B-C50C-407E-A947-70E740481C1C}">
                          <a14:useLocalDpi xmlns:a14="http://schemas.microsoft.com/office/drawing/2010/main" val="0"/>
                        </a:ext>
                      </a:extLst>
                    </a:blip>
                    <a:srcRect l="1178" t="3187" r="1713" b="2722"/>
                    <a:stretch/>
                  </pic:blipFill>
                  <pic:spPr bwMode="auto">
                    <a:xfrm>
                      <a:off x="0" y="0"/>
                      <a:ext cx="8181560" cy="5598860"/>
                    </a:xfrm>
                    <a:prstGeom prst="rect">
                      <a:avLst/>
                    </a:prstGeom>
                    <a:ln>
                      <a:noFill/>
                    </a:ln>
                    <a:extLst>
                      <a:ext uri="{53640926-AAD7-44D8-BBD7-CCE9431645EC}">
                        <a14:shadowObscured xmlns:a14="http://schemas.microsoft.com/office/drawing/2010/main"/>
                      </a:ext>
                    </a:extLst>
                  </pic:spPr>
                </pic:pic>
              </a:graphicData>
            </a:graphic>
          </wp:inline>
        </w:drawing>
      </w:r>
    </w:p>
    <w:p w:rsidR="00F46A41" w:rsidRDefault="00F46A41" w:rsidP="00F46A41">
      <w:pPr>
        <w:pStyle w:val="2"/>
        <w:numPr>
          <w:ilvl w:val="0"/>
          <w:numId w:val="0"/>
        </w:numPr>
        <w:rPr>
          <w:b w:val="0"/>
        </w:rPr>
        <w:sectPr w:rsidR="00F46A41" w:rsidSect="00F46A41">
          <w:pgSz w:w="16840" w:h="11907" w:orient="landscape" w:code="9"/>
          <w:pgMar w:top="1418" w:right="1701" w:bottom="1418" w:left="1418" w:header="851" w:footer="851" w:gutter="227"/>
          <w:cols w:space="425"/>
          <w:docGrid w:type="linesAndChars" w:linePitch="457" w:charSpace="4127"/>
        </w:sectPr>
      </w:pPr>
    </w:p>
    <w:p w:rsidR="00F46A41" w:rsidRPr="005079F1" w:rsidRDefault="00F46A41" w:rsidP="00F46A41">
      <w:pPr>
        <w:pStyle w:val="3"/>
        <w:numPr>
          <w:ilvl w:val="0"/>
          <w:numId w:val="0"/>
        </w:numPr>
        <w:spacing w:beforeLines="50" w:before="228"/>
        <w:jc w:val="center"/>
        <w:rPr>
          <w:b/>
          <w:sz w:val="28"/>
          <w:szCs w:val="28"/>
        </w:rPr>
      </w:pPr>
      <w:r w:rsidRPr="005079F1">
        <w:rPr>
          <w:rFonts w:hint="eastAsia"/>
          <w:b/>
          <w:sz w:val="28"/>
          <w:szCs w:val="28"/>
        </w:rPr>
        <w:lastRenderedPageBreak/>
        <w:t>表1、臺北市政府針對違規課徵住家用稅率查處情形</w:t>
      </w:r>
    </w:p>
    <w:p w:rsidR="00F46A41" w:rsidRPr="005079F1" w:rsidRDefault="00F46A41" w:rsidP="00F46A41">
      <w:pPr>
        <w:ind w:rightChars="182" w:right="619"/>
        <w:jc w:val="right"/>
        <w:rPr>
          <w:sz w:val="24"/>
          <w:szCs w:val="24"/>
        </w:rPr>
      </w:pPr>
      <w:r w:rsidRPr="005079F1">
        <w:rPr>
          <w:rFonts w:hint="eastAsia"/>
          <w:sz w:val="24"/>
          <w:szCs w:val="24"/>
        </w:rPr>
        <w:t>資料時間：109年4月15日</w:t>
      </w:r>
    </w:p>
    <w:tbl>
      <w:tblPr>
        <w:tblStyle w:val="af6"/>
        <w:tblW w:w="0" w:type="auto"/>
        <w:tblInd w:w="534" w:type="dxa"/>
        <w:tblLook w:val="04A0" w:firstRow="1" w:lastRow="0" w:firstColumn="1" w:lastColumn="0" w:noHBand="0" w:noVBand="1"/>
      </w:tblPr>
      <w:tblGrid>
        <w:gridCol w:w="850"/>
        <w:gridCol w:w="3686"/>
        <w:gridCol w:w="1842"/>
        <w:gridCol w:w="1864"/>
      </w:tblGrid>
      <w:tr w:rsidR="00F46A41" w:rsidRPr="005079F1" w:rsidTr="009011C2">
        <w:trPr>
          <w:trHeight w:val="688"/>
        </w:trPr>
        <w:tc>
          <w:tcPr>
            <w:tcW w:w="850" w:type="dxa"/>
            <w:shd w:val="clear" w:color="auto" w:fill="FDE9D9" w:themeFill="accent6" w:themeFillTint="33"/>
            <w:vAlign w:val="center"/>
          </w:tcPr>
          <w:p w:rsidR="00F46A41" w:rsidRPr="005079F1" w:rsidRDefault="00F46A41" w:rsidP="009011C2">
            <w:pPr>
              <w:pStyle w:val="4"/>
              <w:numPr>
                <w:ilvl w:val="0"/>
                <w:numId w:val="0"/>
              </w:numPr>
              <w:jc w:val="center"/>
              <w:rPr>
                <w:sz w:val="28"/>
                <w:szCs w:val="28"/>
              </w:rPr>
            </w:pPr>
            <w:r w:rsidRPr="005079F1">
              <w:rPr>
                <w:rFonts w:hint="eastAsia"/>
                <w:sz w:val="28"/>
                <w:szCs w:val="28"/>
              </w:rPr>
              <w:t>序號</w:t>
            </w:r>
          </w:p>
        </w:tc>
        <w:tc>
          <w:tcPr>
            <w:tcW w:w="3686" w:type="dxa"/>
            <w:shd w:val="clear" w:color="auto" w:fill="FDE9D9" w:themeFill="accent6" w:themeFillTint="33"/>
            <w:vAlign w:val="center"/>
          </w:tcPr>
          <w:p w:rsidR="00F46A41" w:rsidRPr="005079F1" w:rsidRDefault="00F46A41" w:rsidP="009011C2">
            <w:pPr>
              <w:pStyle w:val="4"/>
              <w:numPr>
                <w:ilvl w:val="0"/>
                <w:numId w:val="0"/>
              </w:numPr>
              <w:jc w:val="center"/>
              <w:rPr>
                <w:sz w:val="28"/>
                <w:szCs w:val="28"/>
              </w:rPr>
            </w:pPr>
            <w:r w:rsidRPr="005079F1">
              <w:rPr>
                <w:rFonts w:hint="eastAsia"/>
                <w:sz w:val="28"/>
                <w:szCs w:val="28"/>
              </w:rPr>
              <w:t>地區</w:t>
            </w:r>
          </w:p>
        </w:tc>
        <w:tc>
          <w:tcPr>
            <w:tcW w:w="1842" w:type="dxa"/>
            <w:shd w:val="clear" w:color="auto" w:fill="FDE9D9" w:themeFill="accent6" w:themeFillTint="33"/>
            <w:vAlign w:val="center"/>
          </w:tcPr>
          <w:p w:rsidR="00F46A41" w:rsidRPr="005079F1" w:rsidRDefault="00F46A41" w:rsidP="009011C2">
            <w:pPr>
              <w:pStyle w:val="4"/>
              <w:numPr>
                <w:ilvl w:val="0"/>
                <w:numId w:val="0"/>
              </w:numPr>
              <w:jc w:val="center"/>
              <w:rPr>
                <w:sz w:val="28"/>
                <w:szCs w:val="28"/>
              </w:rPr>
            </w:pPr>
            <w:r w:rsidRPr="005079F1">
              <w:rPr>
                <w:rFonts w:hint="eastAsia"/>
                <w:sz w:val="28"/>
                <w:szCs w:val="28"/>
              </w:rPr>
              <w:t>審計部</w:t>
            </w:r>
          </w:p>
          <w:p w:rsidR="00F46A41" w:rsidRPr="005079F1" w:rsidRDefault="00F46A41" w:rsidP="009011C2">
            <w:pPr>
              <w:pStyle w:val="4"/>
              <w:numPr>
                <w:ilvl w:val="0"/>
                <w:numId w:val="0"/>
              </w:numPr>
              <w:jc w:val="center"/>
              <w:rPr>
                <w:sz w:val="28"/>
                <w:szCs w:val="28"/>
              </w:rPr>
            </w:pPr>
            <w:r w:rsidRPr="005079F1">
              <w:rPr>
                <w:rFonts w:hint="eastAsia"/>
                <w:sz w:val="28"/>
                <w:szCs w:val="28"/>
              </w:rPr>
              <w:t>通報戶數</w:t>
            </w:r>
          </w:p>
        </w:tc>
        <w:tc>
          <w:tcPr>
            <w:tcW w:w="1864" w:type="dxa"/>
            <w:shd w:val="clear" w:color="auto" w:fill="FDE9D9" w:themeFill="accent6" w:themeFillTint="33"/>
            <w:vAlign w:val="center"/>
          </w:tcPr>
          <w:p w:rsidR="00F46A41" w:rsidRPr="005079F1" w:rsidRDefault="00F46A41" w:rsidP="009011C2">
            <w:pPr>
              <w:pStyle w:val="4"/>
              <w:numPr>
                <w:ilvl w:val="0"/>
                <w:numId w:val="0"/>
              </w:numPr>
              <w:jc w:val="center"/>
              <w:rPr>
                <w:sz w:val="28"/>
                <w:szCs w:val="28"/>
              </w:rPr>
            </w:pPr>
            <w:r w:rsidRPr="005079F1">
              <w:rPr>
                <w:rFonts w:hint="eastAsia"/>
                <w:sz w:val="28"/>
                <w:szCs w:val="28"/>
              </w:rPr>
              <w:t>仍課徵住家用稅率戶數</w:t>
            </w:r>
          </w:p>
        </w:tc>
      </w:tr>
      <w:tr w:rsidR="00F46A41" w:rsidRPr="005079F1" w:rsidTr="009011C2">
        <w:trPr>
          <w:trHeight w:val="454"/>
        </w:trPr>
        <w:tc>
          <w:tcPr>
            <w:tcW w:w="850" w:type="dxa"/>
            <w:vAlign w:val="center"/>
          </w:tcPr>
          <w:p w:rsidR="00F46A41" w:rsidRPr="005079F1" w:rsidRDefault="00F46A41" w:rsidP="009011C2">
            <w:pPr>
              <w:pStyle w:val="4"/>
              <w:numPr>
                <w:ilvl w:val="0"/>
                <w:numId w:val="0"/>
              </w:numPr>
              <w:jc w:val="center"/>
              <w:rPr>
                <w:sz w:val="28"/>
                <w:szCs w:val="28"/>
              </w:rPr>
            </w:pPr>
            <w:r w:rsidRPr="005079F1">
              <w:rPr>
                <w:rFonts w:hint="eastAsia"/>
                <w:sz w:val="28"/>
                <w:szCs w:val="28"/>
              </w:rPr>
              <w:t>1</w:t>
            </w:r>
          </w:p>
        </w:tc>
        <w:tc>
          <w:tcPr>
            <w:tcW w:w="3686" w:type="dxa"/>
            <w:vAlign w:val="center"/>
          </w:tcPr>
          <w:p w:rsidR="00F46A41" w:rsidRPr="005079F1" w:rsidRDefault="00F46A41" w:rsidP="009011C2">
            <w:pPr>
              <w:pStyle w:val="4"/>
              <w:numPr>
                <w:ilvl w:val="0"/>
                <w:numId w:val="0"/>
              </w:numPr>
              <w:jc w:val="center"/>
              <w:rPr>
                <w:sz w:val="28"/>
                <w:szCs w:val="28"/>
              </w:rPr>
            </w:pPr>
            <w:r w:rsidRPr="005079F1">
              <w:rPr>
                <w:rFonts w:hint="eastAsia"/>
                <w:sz w:val="28"/>
                <w:szCs w:val="28"/>
              </w:rPr>
              <w:t>信義計畫區</w:t>
            </w:r>
          </w:p>
        </w:tc>
        <w:tc>
          <w:tcPr>
            <w:tcW w:w="1842" w:type="dxa"/>
            <w:vAlign w:val="center"/>
          </w:tcPr>
          <w:p w:rsidR="00F46A41" w:rsidRPr="005079F1" w:rsidRDefault="00F46A41" w:rsidP="009011C2">
            <w:pPr>
              <w:pStyle w:val="4"/>
              <w:numPr>
                <w:ilvl w:val="0"/>
                <w:numId w:val="0"/>
              </w:numPr>
              <w:jc w:val="right"/>
              <w:rPr>
                <w:sz w:val="28"/>
                <w:szCs w:val="28"/>
              </w:rPr>
            </w:pPr>
            <w:r w:rsidRPr="005079F1">
              <w:rPr>
                <w:sz w:val="28"/>
                <w:szCs w:val="28"/>
              </w:rPr>
              <w:t>20</w:t>
            </w:r>
          </w:p>
        </w:tc>
        <w:tc>
          <w:tcPr>
            <w:tcW w:w="1864" w:type="dxa"/>
            <w:vAlign w:val="center"/>
          </w:tcPr>
          <w:p w:rsidR="00F46A41" w:rsidRPr="005079F1" w:rsidRDefault="00F46A41" w:rsidP="009011C2">
            <w:pPr>
              <w:pStyle w:val="4"/>
              <w:numPr>
                <w:ilvl w:val="0"/>
                <w:numId w:val="0"/>
              </w:numPr>
              <w:jc w:val="right"/>
              <w:rPr>
                <w:sz w:val="28"/>
                <w:szCs w:val="28"/>
              </w:rPr>
            </w:pPr>
            <w:r w:rsidRPr="005079F1">
              <w:rPr>
                <w:rFonts w:hint="eastAsia"/>
                <w:sz w:val="28"/>
                <w:szCs w:val="28"/>
              </w:rPr>
              <w:t>0</w:t>
            </w:r>
          </w:p>
        </w:tc>
      </w:tr>
      <w:tr w:rsidR="00F46A41" w:rsidRPr="005079F1" w:rsidTr="009011C2">
        <w:trPr>
          <w:trHeight w:val="454"/>
        </w:trPr>
        <w:tc>
          <w:tcPr>
            <w:tcW w:w="850" w:type="dxa"/>
            <w:vAlign w:val="center"/>
          </w:tcPr>
          <w:p w:rsidR="00F46A41" w:rsidRPr="005079F1" w:rsidRDefault="00F46A41" w:rsidP="009011C2">
            <w:pPr>
              <w:pStyle w:val="4"/>
              <w:numPr>
                <w:ilvl w:val="0"/>
                <w:numId w:val="0"/>
              </w:numPr>
              <w:jc w:val="center"/>
              <w:rPr>
                <w:sz w:val="28"/>
                <w:szCs w:val="28"/>
              </w:rPr>
            </w:pPr>
            <w:r w:rsidRPr="005079F1">
              <w:rPr>
                <w:rFonts w:hint="eastAsia"/>
                <w:sz w:val="28"/>
                <w:szCs w:val="28"/>
              </w:rPr>
              <w:t>2</w:t>
            </w:r>
          </w:p>
        </w:tc>
        <w:tc>
          <w:tcPr>
            <w:tcW w:w="3686" w:type="dxa"/>
            <w:vAlign w:val="center"/>
          </w:tcPr>
          <w:p w:rsidR="00F46A41" w:rsidRPr="005079F1" w:rsidRDefault="00F46A41" w:rsidP="009011C2">
            <w:pPr>
              <w:pStyle w:val="4"/>
              <w:numPr>
                <w:ilvl w:val="0"/>
                <w:numId w:val="0"/>
              </w:numPr>
              <w:jc w:val="center"/>
              <w:rPr>
                <w:sz w:val="28"/>
                <w:szCs w:val="28"/>
              </w:rPr>
            </w:pPr>
            <w:r w:rsidRPr="005079F1">
              <w:rPr>
                <w:rFonts w:hint="eastAsia"/>
                <w:sz w:val="28"/>
                <w:szCs w:val="28"/>
              </w:rPr>
              <w:t>內湖舊宗段</w:t>
            </w:r>
          </w:p>
        </w:tc>
        <w:tc>
          <w:tcPr>
            <w:tcW w:w="1842" w:type="dxa"/>
            <w:vAlign w:val="center"/>
          </w:tcPr>
          <w:p w:rsidR="00F46A41" w:rsidRPr="005079F1" w:rsidRDefault="00F46A41" w:rsidP="009011C2">
            <w:pPr>
              <w:pStyle w:val="4"/>
              <w:numPr>
                <w:ilvl w:val="0"/>
                <w:numId w:val="0"/>
              </w:numPr>
              <w:jc w:val="right"/>
              <w:rPr>
                <w:sz w:val="28"/>
                <w:szCs w:val="28"/>
              </w:rPr>
            </w:pPr>
            <w:r w:rsidRPr="005079F1">
              <w:rPr>
                <w:rFonts w:hint="eastAsia"/>
                <w:sz w:val="28"/>
                <w:szCs w:val="28"/>
              </w:rPr>
              <w:t>153</w:t>
            </w:r>
          </w:p>
        </w:tc>
        <w:tc>
          <w:tcPr>
            <w:tcW w:w="1864" w:type="dxa"/>
            <w:vAlign w:val="center"/>
          </w:tcPr>
          <w:p w:rsidR="00F46A41" w:rsidRPr="005079F1" w:rsidRDefault="00F46A41" w:rsidP="009011C2">
            <w:pPr>
              <w:pStyle w:val="4"/>
              <w:numPr>
                <w:ilvl w:val="0"/>
                <w:numId w:val="0"/>
              </w:numPr>
              <w:jc w:val="right"/>
              <w:rPr>
                <w:sz w:val="28"/>
                <w:szCs w:val="28"/>
              </w:rPr>
            </w:pPr>
            <w:r w:rsidRPr="005079F1">
              <w:rPr>
                <w:rFonts w:hint="eastAsia"/>
                <w:sz w:val="28"/>
                <w:szCs w:val="28"/>
              </w:rPr>
              <w:t>153</w:t>
            </w:r>
          </w:p>
        </w:tc>
      </w:tr>
      <w:tr w:rsidR="00F46A41" w:rsidRPr="005079F1" w:rsidTr="009011C2">
        <w:trPr>
          <w:trHeight w:val="454"/>
        </w:trPr>
        <w:tc>
          <w:tcPr>
            <w:tcW w:w="850" w:type="dxa"/>
            <w:vAlign w:val="center"/>
          </w:tcPr>
          <w:p w:rsidR="00F46A41" w:rsidRPr="005079F1" w:rsidRDefault="00F46A41" w:rsidP="009011C2">
            <w:pPr>
              <w:pStyle w:val="4"/>
              <w:numPr>
                <w:ilvl w:val="0"/>
                <w:numId w:val="0"/>
              </w:numPr>
              <w:jc w:val="center"/>
              <w:rPr>
                <w:sz w:val="28"/>
                <w:szCs w:val="28"/>
              </w:rPr>
            </w:pPr>
            <w:r w:rsidRPr="005079F1">
              <w:rPr>
                <w:rFonts w:hint="eastAsia"/>
                <w:sz w:val="28"/>
                <w:szCs w:val="28"/>
              </w:rPr>
              <w:t>3</w:t>
            </w:r>
          </w:p>
        </w:tc>
        <w:tc>
          <w:tcPr>
            <w:tcW w:w="3686" w:type="dxa"/>
            <w:vAlign w:val="center"/>
          </w:tcPr>
          <w:p w:rsidR="00F46A41" w:rsidRPr="005079F1" w:rsidRDefault="00F46A41" w:rsidP="009011C2">
            <w:pPr>
              <w:pStyle w:val="4"/>
              <w:numPr>
                <w:ilvl w:val="0"/>
                <w:numId w:val="0"/>
              </w:numPr>
              <w:jc w:val="center"/>
              <w:rPr>
                <w:sz w:val="28"/>
                <w:szCs w:val="28"/>
              </w:rPr>
            </w:pPr>
            <w:r w:rsidRPr="005079F1">
              <w:rPr>
                <w:rFonts w:hint="eastAsia"/>
                <w:sz w:val="28"/>
                <w:szCs w:val="28"/>
              </w:rPr>
              <w:t>內湖潭美段（內湖五期）</w:t>
            </w:r>
          </w:p>
        </w:tc>
        <w:tc>
          <w:tcPr>
            <w:tcW w:w="1842" w:type="dxa"/>
            <w:vAlign w:val="center"/>
          </w:tcPr>
          <w:p w:rsidR="00F46A41" w:rsidRPr="005079F1" w:rsidRDefault="00F46A41" w:rsidP="009011C2">
            <w:pPr>
              <w:pStyle w:val="4"/>
              <w:numPr>
                <w:ilvl w:val="0"/>
                <w:numId w:val="0"/>
              </w:numPr>
              <w:jc w:val="right"/>
              <w:rPr>
                <w:sz w:val="28"/>
                <w:szCs w:val="28"/>
              </w:rPr>
            </w:pPr>
            <w:r w:rsidRPr="005079F1">
              <w:rPr>
                <w:rFonts w:hint="eastAsia"/>
                <w:sz w:val="28"/>
                <w:szCs w:val="28"/>
              </w:rPr>
              <w:t>463</w:t>
            </w:r>
          </w:p>
        </w:tc>
        <w:tc>
          <w:tcPr>
            <w:tcW w:w="1864" w:type="dxa"/>
            <w:vAlign w:val="center"/>
          </w:tcPr>
          <w:p w:rsidR="00F46A41" w:rsidRPr="005079F1" w:rsidRDefault="00F46A41" w:rsidP="009011C2">
            <w:pPr>
              <w:pStyle w:val="4"/>
              <w:numPr>
                <w:ilvl w:val="0"/>
                <w:numId w:val="0"/>
              </w:numPr>
              <w:jc w:val="right"/>
              <w:rPr>
                <w:sz w:val="28"/>
                <w:szCs w:val="28"/>
              </w:rPr>
            </w:pPr>
            <w:r w:rsidRPr="005079F1">
              <w:rPr>
                <w:rFonts w:hint="eastAsia"/>
                <w:sz w:val="28"/>
                <w:szCs w:val="28"/>
              </w:rPr>
              <w:t>2</w:t>
            </w:r>
          </w:p>
        </w:tc>
      </w:tr>
      <w:tr w:rsidR="00F46A41" w:rsidRPr="005079F1" w:rsidTr="009011C2">
        <w:trPr>
          <w:trHeight w:val="454"/>
        </w:trPr>
        <w:tc>
          <w:tcPr>
            <w:tcW w:w="850" w:type="dxa"/>
            <w:vAlign w:val="center"/>
          </w:tcPr>
          <w:p w:rsidR="00F46A41" w:rsidRPr="005079F1" w:rsidRDefault="00F46A41" w:rsidP="009011C2">
            <w:pPr>
              <w:pStyle w:val="4"/>
              <w:numPr>
                <w:ilvl w:val="0"/>
                <w:numId w:val="0"/>
              </w:numPr>
              <w:jc w:val="center"/>
              <w:rPr>
                <w:sz w:val="28"/>
                <w:szCs w:val="28"/>
              </w:rPr>
            </w:pPr>
            <w:r w:rsidRPr="005079F1">
              <w:rPr>
                <w:rFonts w:hint="eastAsia"/>
                <w:sz w:val="28"/>
                <w:szCs w:val="28"/>
              </w:rPr>
              <w:t>4</w:t>
            </w:r>
          </w:p>
        </w:tc>
        <w:tc>
          <w:tcPr>
            <w:tcW w:w="3686" w:type="dxa"/>
            <w:vAlign w:val="center"/>
          </w:tcPr>
          <w:p w:rsidR="00F46A41" w:rsidRPr="005079F1" w:rsidRDefault="00F46A41" w:rsidP="009011C2">
            <w:pPr>
              <w:pStyle w:val="4"/>
              <w:numPr>
                <w:ilvl w:val="0"/>
                <w:numId w:val="0"/>
              </w:numPr>
              <w:jc w:val="center"/>
              <w:rPr>
                <w:sz w:val="28"/>
                <w:szCs w:val="28"/>
              </w:rPr>
            </w:pPr>
            <w:r w:rsidRPr="005079F1">
              <w:rPr>
                <w:rFonts w:hint="eastAsia"/>
                <w:sz w:val="28"/>
                <w:szCs w:val="28"/>
              </w:rPr>
              <w:t>南港向陽段</w:t>
            </w:r>
          </w:p>
        </w:tc>
        <w:tc>
          <w:tcPr>
            <w:tcW w:w="1842" w:type="dxa"/>
            <w:vAlign w:val="center"/>
          </w:tcPr>
          <w:p w:rsidR="00F46A41" w:rsidRPr="005079F1" w:rsidRDefault="00F46A41" w:rsidP="009011C2">
            <w:pPr>
              <w:pStyle w:val="4"/>
              <w:numPr>
                <w:ilvl w:val="0"/>
                <w:numId w:val="0"/>
              </w:numPr>
              <w:jc w:val="right"/>
              <w:rPr>
                <w:sz w:val="28"/>
                <w:szCs w:val="28"/>
              </w:rPr>
            </w:pPr>
            <w:r w:rsidRPr="005079F1">
              <w:rPr>
                <w:rFonts w:hint="eastAsia"/>
                <w:sz w:val="28"/>
                <w:szCs w:val="28"/>
              </w:rPr>
              <w:t>51</w:t>
            </w:r>
          </w:p>
        </w:tc>
        <w:tc>
          <w:tcPr>
            <w:tcW w:w="1864" w:type="dxa"/>
            <w:vAlign w:val="center"/>
          </w:tcPr>
          <w:p w:rsidR="00F46A41" w:rsidRPr="005079F1" w:rsidRDefault="00F46A41" w:rsidP="009011C2">
            <w:pPr>
              <w:pStyle w:val="4"/>
              <w:numPr>
                <w:ilvl w:val="0"/>
                <w:numId w:val="0"/>
              </w:numPr>
              <w:jc w:val="right"/>
              <w:rPr>
                <w:sz w:val="28"/>
                <w:szCs w:val="28"/>
              </w:rPr>
            </w:pPr>
            <w:r w:rsidRPr="005079F1">
              <w:rPr>
                <w:rFonts w:hint="eastAsia"/>
                <w:sz w:val="28"/>
                <w:szCs w:val="28"/>
              </w:rPr>
              <w:t>51</w:t>
            </w:r>
          </w:p>
        </w:tc>
      </w:tr>
      <w:tr w:rsidR="00F46A41" w:rsidRPr="005079F1" w:rsidTr="009011C2">
        <w:trPr>
          <w:trHeight w:val="454"/>
        </w:trPr>
        <w:tc>
          <w:tcPr>
            <w:tcW w:w="850" w:type="dxa"/>
            <w:tcBorders>
              <w:bottom w:val="single" w:sz="4" w:space="0" w:color="auto"/>
            </w:tcBorders>
            <w:vAlign w:val="center"/>
          </w:tcPr>
          <w:p w:rsidR="00F46A41" w:rsidRPr="005079F1" w:rsidRDefault="00F46A41" w:rsidP="009011C2">
            <w:pPr>
              <w:pStyle w:val="4"/>
              <w:numPr>
                <w:ilvl w:val="0"/>
                <w:numId w:val="0"/>
              </w:numPr>
              <w:jc w:val="center"/>
              <w:rPr>
                <w:sz w:val="28"/>
                <w:szCs w:val="28"/>
              </w:rPr>
            </w:pPr>
            <w:r w:rsidRPr="005079F1">
              <w:rPr>
                <w:rFonts w:hint="eastAsia"/>
                <w:sz w:val="28"/>
                <w:szCs w:val="28"/>
              </w:rPr>
              <w:t>5</w:t>
            </w:r>
          </w:p>
        </w:tc>
        <w:tc>
          <w:tcPr>
            <w:tcW w:w="3686" w:type="dxa"/>
            <w:tcBorders>
              <w:bottom w:val="single" w:sz="4" w:space="0" w:color="auto"/>
            </w:tcBorders>
            <w:vAlign w:val="center"/>
          </w:tcPr>
          <w:p w:rsidR="00F46A41" w:rsidRPr="005079F1" w:rsidRDefault="00F46A41" w:rsidP="009011C2">
            <w:pPr>
              <w:pStyle w:val="4"/>
              <w:numPr>
                <w:ilvl w:val="0"/>
                <w:numId w:val="0"/>
              </w:numPr>
              <w:jc w:val="center"/>
              <w:rPr>
                <w:sz w:val="28"/>
                <w:szCs w:val="28"/>
              </w:rPr>
            </w:pPr>
            <w:r w:rsidRPr="005079F1">
              <w:rPr>
                <w:rFonts w:hint="eastAsia"/>
                <w:sz w:val="28"/>
                <w:szCs w:val="28"/>
              </w:rPr>
              <w:t>南港車站特定商業區</w:t>
            </w:r>
          </w:p>
        </w:tc>
        <w:tc>
          <w:tcPr>
            <w:tcW w:w="1842" w:type="dxa"/>
            <w:tcBorders>
              <w:bottom w:val="single" w:sz="4" w:space="0" w:color="auto"/>
            </w:tcBorders>
            <w:vAlign w:val="center"/>
          </w:tcPr>
          <w:p w:rsidR="00F46A41" w:rsidRPr="005079F1" w:rsidRDefault="00F46A41" w:rsidP="009011C2">
            <w:pPr>
              <w:pStyle w:val="4"/>
              <w:numPr>
                <w:ilvl w:val="0"/>
                <w:numId w:val="0"/>
              </w:numPr>
              <w:jc w:val="right"/>
              <w:rPr>
                <w:sz w:val="28"/>
                <w:szCs w:val="28"/>
              </w:rPr>
            </w:pPr>
            <w:r w:rsidRPr="005079F1">
              <w:rPr>
                <w:rFonts w:hint="eastAsia"/>
                <w:sz w:val="28"/>
                <w:szCs w:val="28"/>
              </w:rPr>
              <w:t>3</w:t>
            </w:r>
          </w:p>
        </w:tc>
        <w:tc>
          <w:tcPr>
            <w:tcW w:w="1864" w:type="dxa"/>
            <w:tcBorders>
              <w:bottom w:val="single" w:sz="4" w:space="0" w:color="auto"/>
            </w:tcBorders>
            <w:vAlign w:val="center"/>
          </w:tcPr>
          <w:p w:rsidR="00F46A41" w:rsidRPr="005079F1" w:rsidRDefault="00F46A41" w:rsidP="009011C2">
            <w:pPr>
              <w:pStyle w:val="4"/>
              <w:numPr>
                <w:ilvl w:val="0"/>
                <w:numId w:val="0"/>
              </w:numPr>
              <w:jc w:val="right"/>
              <w:rPr>
                <w:sz w:val="28"/>
                <w:szCs w:val="28"/>
              </w:rPr>
            </w:pPr>
            <w:r w:rsidRPr="005079F1">
              <w:rPr>
                <w:rFonts w:hint="eastAsia"/>
                <w:sz w:val="28"/>
                <w:szCs w:val="28"/>
              </w:rPr>
              <w:t>0</w:t>
            </w:r>
          </w:p>
        </w:tc>
      </w:tr>
      <w:tr w:rsidR="00F46A41" w:rsidRPr="005079F1" w:rsidTr="009011C2">
        <w:trPr>
          <w:trHeight w:val="454"/>
        </w:trPr>
        <w:tc>
          <w:tcPr>
            <w:tcW w:w="4536" w:type="dxa"/>
            <w:gridSpan w:val="2"/>
            <w:shd w:val="clear" w:color="auto" w:fill="FDE9D9" w:themeFill="accent6" w:themeFillTint="33"/>
            <w:vAlign w:val="center"/>
          </w:tcPr>
          <w:p w:rsidR="00F46A41" w:rsidRPr="005079F1" w:rsidRDefault="00F46A41" w:rsidP="009011C2">
            <w:pPr>
              <w:pStyle w:val="4"/>
              <w:numPr>
                <w:ilvl w:val="0"/>
                <w:numId w:val="0"/>
              </w:numPr>
              <w:jc w:val="center"/>
              <w:rPr>
                <w:sz w:val="28"/>
                <w:szCs w:val="28"/>
              </w:rPr>
            </w:pPr>
            <w:r w:rsidRPr="005079F1">
              <w:rPr>
                <w:rFonts w:hint="eastAsia"/>
                <w:sz w:val="28"/>
                <w:szCs w:val="28"/>
              </w:rPr>
              <w:t>合計</w:t>
            </w:r>
          </w:p>
        </w:tc>
        <w:tc>
          <w:tcPr>
            <w:tcW w:w="1842" w:type="dxa"/>
            <w:shd w:val="clear" w:color="auto" w:fill="FDE9D9" w:themeFill="accent6" w:themeFillTint="33"/>
            <w:vAlign w:val="center"/>
          </w:tcPr>
          <w:p w:rsidR="00F46A41" w:rsidRPr="005079F1" w:rsidRDefault="00F46A41" w:rsidP="009011C2">
            <w:pPr>
              <w:pStyle w:val="4"/>
              <w:numPr>
                <w:ilvl w:val="0"/>
                <w:numId w:val="0"/>
              </w:numPr>
              <w:jc w:val="right"/>
              <w:rPr>
                <w:sz w:val="28"/>
                <w:szCs w:val="28"/>
              </w:rPr>
            </w:pPr>
            <w:r w:rsidRPr="005079F1">
              <w:rPr>
                <w:sz w:val="28"/>
                <w:szCs w:val="28"/>
              </w:rPr>
              <w:t>6</w:t>
            </w:r>
            <w:r w:rsidRPr="005079F1">
              <w:rPr>
                <w:rFonts w:hint="eastAsia"/>
                <w:sz w:val="28"/>
                <w:szCs w:val="28"/>
              </w:rPr>
              <w:t>9</w:t>
            </w:r>
            <w:r w:rsidRPr="005079F1">
              <w:rPr>
                <w:sz w:val="28"/>
                <w:szCs w:val="28"/>
              </w:rPr>
              <w:t>0</w:t>
            </w:r>
          </w:p>
        </w:tc>
        <w:tc>
          <w:tcPr>
            <w:tcW w:w="1864" w:type="dxa"/>
            <w:shd w:val="clear" w:color="auto" w:fill="FDE9D9" w:themeFill="accent6" w:themeFillTint="33"/>
            <w:vAlign w:val="center"/>
          </w:tcPr>
          <w:p w:rsidR="00F46A41" w:rsidRPr="005079F1" w:rsidRDefault="00F46A41" w:rsidP="009011C2">
            <w:pPr>
              <w:pStyle w:val="4"/>
              <w:numPr>
                <w:ilvl w:val="0"/>
                <w:numId w:val="0"/>
              </w:numPr>
              <w:jc w:val="right"/>
              <w:rPr>
                <w:sz w:val="28"/>
                <w:szCs w:val="28"/>
              </w:rPr>
            </w:pPr>
            <w:r w:rsidRPr="005079F1">
              <w:rPr>
                <w:rFonts w:hint="eastAsia"/>
                <w:sz w:val="28"/>
                <w:szCs w:val="28"/>
              </w:rPr>
              <w:t>206</w:t>
            </w:r>
          </w:p>
        </w:tc>
      </w:tr>
    </w:tbl>
    <w:p w:rsidR="00F46A41" w:rsidRPr="005079F1" w:rsidRDefault="00F46A41" w:rsidP="00F46A41">
      <w:pPr>
        <w:pStyle w:val="3"/>
        <w:numPr>
          <w:ilvl w:val="0"/>
          <w:numId w:val="0"/>
        </w:numPr>
        <w:spacing w:line="360" w:lineRule="exact"/>
        <w:ind w:left="993" w:rightChars="57" w:right="194" w:hanging="510"/>
        <w:rPr>
          <w:sz w:val="24"/>
          <w:szCs w:val="24"/>
        </w:rPr>
      </w:pPr>
      <w:r>
        <w:rPr>
          <w:rFonts w:hint="eastAsia"/>
          <w:sz w:val="24"/>
          <w:szCs w:val="24"/>
        </w:rPr>
        <w:t>註：除</w:t>
      </w:r>
      <w:r w:rsidRPr="005079F1">
        <w:rPr>
          <w:rFonts w:hint="eastAsia"/>
          <w:sz w:val="24"/>
          <w:szCs w:val="24"/>
        </w:rPr>
        <w:t>表列5處地區，其餘士林官邸北側、南港區鐵路地下化沿線（瓶蓋工廠）、中山區長春段捷運南京東路站西北側、南港經貿園區、京華城、松南營區、華光社區等7處地區，經臺北市政府清查結果，尚無以住家用稅率課徵房屋稅之情事。</w:t>
      </w:r>
    </w:p>
    <w:p w:rsidR="00F46A41" w:rsidRPr="00F46A41" w:rsidRDefault="00F46A41" w:rsidP="00F46A41">
      <w:pPr>
        <w:pStyle w:val="3"/>
        <w:numPr>
          <w:ilvl w:val="0"/>
          <w:numId w:val="0"/>
        </w:numPr>
        <w:spacing w:afterLines="50" w:after="228" w:line="360" w:lineRule="exact"/>
        <w:ind w:left="992" w:rightChars="57" w:right="194" w:hanging="510"/>
      </w:pPr>
      <w:r w:rsidRPr="00F46A41">
        <w:rPr>
          <w:rFonts w:hint="eastAsia"/>
          <w:sz w:val="24"/>
          <w:szCs w:val="24"/>
        </w:rPr>
        <w:t>資料來源：本院依臺北市政府函復資料整理製作。</w:t>
      </w:r>
    </w:p>
    <w:p w:rsidR="00F46A41" w:rsidRPr="00F46A41" w:rsidRDefault="00F46A41" w:rsidP="00F46A41">
      <w:pPr>
        <w:pStyle w:val="2"/>
        <w:rPr>
          <w:b w:val="0"/>
        </w:rPr>
      </w:pPr>
      <w:r w:rsidRPr="00F46A41">
        <w:rPr>
          <w:rFonts w:hint="eastAsia"/>
          <w:b w:val="0"/>
        </w:rPr>
        <w:t>據臺北市政府表示，該府針對都市計畫規定不得移作住宅使用之商業區與特定專用區等情，已訂定並採取相關防範機制如下：</w:t>
      </w:r>
    </w:p>
    <w:p w:rsidR="00F46A41" w:rsidRPr="005079F1" w:rsidRDefault="00F46A41" w:rsidP="00F46A41">
      <w:pPr>
        <w:pStyle w:val="3"/>
      </w:pPr>
      <w:r w:rsidRPr="005079F1">
        <w:rPr>
          <w:rFonts w:hint="eastAsia"/>
        </w:rPr>
        <w:t>公開資訊，強化限制使用資訊之揭露，例如：於土地使用分區證明註記不得作住宅使用（都發局）；於土地、建物參考資訊檔建檔，註記該建築基地位於都市計畫規定不得移作住宅使用地區，應依都市計畫規定用途不得擅自變更使用（地政局、地政事務所）；加強執照註記，於建造執照檢附規約草案載明不得作住宅使用，公共空間不得約定專用並須依原設置目的使用，使用執照予以加註以利後續控管，室內裝修申請應依都市設計審議通案原則規定辦理，專用部分範圍經核定後不得再增設廁所與隔間（建管處）；戶政事務所依建管處所提供之不得作住宅使用建物門牌資料，於戶政資訊系統門牌檔</w:t>
      </w:r>
      <w:r w:rsidRPr="005079F1">
        <w:rPr>
          <w:rFonts w:hint="eastAsia"/>
        </w:rPr>
        <w:lastRenderedPageBreak/>
        <w:t>註記（戶政事務所）。</w:t>
      </w:r>
    </w:p>
    <w:p w:rsidR="00F46A41" w:rsidRPr="00F46A41" w:rsidRDefault="00F46A41" w:rsidP="00F46A41">
      <w:pPr>
        <w:pStyle w:val="3"/>
        <w:rPr>
          <w:b/>
        </w:rPr>
      </w:pPr>
      <w:r w:rsidRPr="005079F1">
        <w:rPr>
          <w:rFonts w:hint="eastAsia"/>
        </w:rPr>
        <w:t>加強審查、宣導與通報等防範作為，例如：於都市設計審議強化審議標準規範（都發局）；防杜二次施工、落實規約內容與社區管理、加強公共區域違規查處（建管處）；加強業者管理、契約查核及不實廣告裁罰（地政局）；民眾至戶政事務所辦理新設立戶籍，即先行政指導，給予告知單。如民眾仍執意申請，則於受理完成遷徙登記後，將相關資料通報都發局（戶政事務所）；輔導民眾勿作住宅使用，於地價稅自用住宅用地及房屋使用情形變更申請書表載明提示文字（稅捐稽徵處）。</w:t>
      </w:r>
    </w:p>
    <w:p w:rsidR="00F46A41" w:rsidRPr="00F46A41" w:rsidRDefault="00F46A41" w:rsidP="00F46A41">
      <w:pPr>
        <w:pStyle w:val="2"/>
        <w:rPr>
          <w:b w:val="0"/>
        </w:rPr>
      </w:pPr>
      <w:r w:rsidRPr="00F46A41">
        <w:rPr>
          <w:rFonts w:hint="eastAsia"/>
          <w:b w:val="0"/>
        </w:rPr>
        <w:t>臺北市政府進一步表示，有關商業區違規移作住宅使用涉及違反都市計畫案件，該府係採專案方式處理，目前執行大彎北段及內湖五期專案，以作為臺北市商業區不得移作住宅使用區域違規類案之裁處執行範例；該府執行專案有關盤點稅籍、清查產權、戶籍資料，寄發行政指導函、領勘函、現場會勘、寄發十日陳述函、開單裁罰，及後續受理行政訴願、訴訟救濟案件等相關作業，該府都發局現有人力辦理上述違規查處業務已極為吃力，故後續將俟大彎北段、內湖五期裁罰專案查處作業辦理完竣後，再依序訂定其他地區處理期程云云。</w:t>
      </w:r>
    </w:p>
    <w:p w:rsidR="00F46A41" w:rsidRPr="00F46A41" w:rsidRDefault="00F46A41" w:rsidP="00F46A41">
      <w:pPr>
        <w:pStyle w:val="2"/>
        <w:rPr>
          <w:b w:val="0"/>
        </w:rPr>
      </w:pPr>
      <w:r w:rsidRPr="00F46A41">
        <w:rPr>
          <w:rFonts w:hint="eastAsia"/>
          <w:b w:val="0"/>
        </w:rPr>
        <w:t>經核都市計畫係指在一定地區內有關都市生活之經濟、交通、衛生、保安、國防、文教、康樂等重要設施，作有計畫之發展，並對土地使用作合理之規劃，其目的係為改善居民生活環境，並促進市、鎮、鄉街有計畫之均衡發展（「都市計畫法」第1條及第3條參照）。「土地使用分區管制規則」乃為</w:t>
      </w:r>
      <w:r w:rsidR="00266025">
        <w:rPr>
          <w:rFonts w:hint="eastAsia"/>
          <w:b w:val="0"/>
        </w:rPr>
        <w:t>實現</w:t>
      </w:r>
      <w:r w:rsidRPr="00F46A41">
        <w:rPr>
          <w:rFonts w:hint="eastAsia"/>
          <w:b w:val="0"/>
        </w:rPr>
        <w:t>都市規劃</w:t>
      </w:r>
      <w:r w:rsidR="00266025">
        <w:rPr>
          <w:rFonts w:hint="eastAsia"/>
          <w:b w:val="0"/>
        </w:rPr>
        <w:t>構想</w:t>
      </w:r>
      <w:r w:rsidRPr="00F46A41">
        <w:rPr>
          <w:rFonts w:hint="eastAsia"/>
          <w:b w:val="0"/>
        </w:rPr>
        <w:t>之工具，藉由區隔不同使用分區，以防止不同使用性質產生之外部負面效益，同時規範私人土地使用之</w:t>
      </w:r>
      <w:r w:rsidRPr="00F46A41">
        <w:rPr>
          <w:rFonts w:hint="eastAsia"/>
          <w:b w:val="0"/>
        </w:rPr>
        <w:lastRenderedPageBreak/>
        <w:t>性質，以確保完整</w:t>
      </w:r>
      <w:r w:rsidR="00266025">
        <w:rPr>
          <w:rFonts w:hint="eastAsia"/>
          <w:b w:val="0"/>
        </w:rPr>
        <w:t>體</w:t>
      </w:r>
      <w:r w:rsidRPr="00F46A41">
        <w:rPr>
          <w:rFonts w:hint="eastAsia"/>
          <w:b w:val="0"/>
        </w:rPr>
        <w:t>現公共利益及具體提升生活品質。然而「徒善不足以為政，徒法不足以自行」，都市計畫規劃理念倘若只是紙上泛論，未能落實執行，縱有良好的規劃構想亦難以發揮實質效益，因此土地使用分區管制是否能達成管制之目的，有賴規劃之合理性及管制之有效強制性。</w:t>
      </w:r>
    </w:p>
    <w:p w:rsidR="00F46A41" w:rsidRPr="00F46A41" w:rsidRDefault="00F46A41" w:rsidP="00F46A41">
      <w:pPr>
        <w:pStyle w:val="2"/>
        <w:rPr>
          <w:b w:val="0"/>
        </w:rPr>
      </w:pPr>
      <w:r w:rsidRPr="00F46A41">
        <w:rPr>
          <w:rFonts w:hint="eastAsia"/>
          <w:b w:val="0"/>
        </w:rPr>
        <w:t>臺北市都市計畫規定不得移作住宅使用之商業區與特定專用區，除大彎北段外，尚有12處，綜觀該等商業區與特定專用區於都市計畫中的定位，不論是做為金融商務中心，或是做為地區型商業區供日常生活所需之用，均有一定之背景與定位，</w:t>
      </w:r>
      <w:r w:rsidRPr="00F46A41">
        <w:rPr>
          <w:rFonts w:hAnsi="標楷體" w:hint="eastAsia"/>
          <w:b w:val="0"/>
        </w:rPr>
        <w:t>然而截至109年4月止，上述地區</w:t>
      </w:r>
      <w:r w:rsidRPr="00F46A41">
        <w:rPr>
          <w:rFonts w:hint="eastAsia"/>
          <w:b w:val="0"/>
        </w:rPr>
        <w:t>尚有3處206戶仍以住家用稅率繳納房屋稅，其中尤以內湖區舊宗段及南港區向陽段等2</w:t>
      </w:r>
      <w:r w:rsidR="00266025">
        <w:rPr>
          <w:rFonts w:hint="eastAsia"/>
          <w:b w:val="0"/>
        </w:rPr>
        <w:t>區，臺北市政府迄未進行查處作為。臺北市政府雖稱已建立多項</w:t>
      </w:r>
      <w:r w:rsidRPr="00F46A41">
        <w:rPr>
          <w:rFonts w:hint="eastAsia"/>
          <w:b w:val="0"/>
        </w:rPr>
        <w:t>防範措施，俾從源頭管控，避免違規案件持續新增，並稱人力有限，將俟大彎北段、內湖五期專案查處作業辦理完竣後，再依序訂定其他地區處理期程云云。</w:t>
      </w:r>
    </w:p>
    <w:p w:rsidR="00FC1F8E" w:rsidRPr="00FC1F8E" w:rsidRDefault="00F46A41" w:rsidP="00D3422F">
      <w:pPr>
        <w:pStyle w:val="2"/>
        <w:rPr>
          <w:b w:val="0"/>
        </w:rPr>
      </w:pPr>
      <w:r w:rsidRPr="002801B0">
        <w:rPr>
          <w:rFonts w:hint="eastAsia"/>
          <w:b w:val="0"/>
        </w:rPr>
        <w:t>惟查，臺北市政府基於大彎北段在臺北市長遠發展中所扮演的角色與解決既有違規使用之事實，爰將該地區納入「中山區都市計畫通盤檢討案」，除調整其定位朝地區商業中心發展，並就原不允許之使用用途，納入住宅使用許可機制，依機制回饋後得作住宅使用。「中山區都市計畫通盤檢討案」自107年10月公開展覽起，歷經多次會議討論，業經108年7月11日、8月8日臺北市都市計畫委員會第751、752次會議審議通過，刻由內政部都市計畫委員會審議中。</w:t>
      </w:r>
      <w:r w:rsidRPr="00F46A41">
        <w:rPr>
          <w:rStyle w:val="afc"/>
          <w:rFonts w:hAnsi="標楷體"/>
          <w:b w:val="0"/>
          <w:szCs w:val="32"/>
        </w:rPr>
        <w:footnoteReference w:id="1"/>
      </w:r>
      <w:r w:rsidRPr="002801B0">
        <w:rPr>
          <w:rFonts w:hint="eastAsia"/>
          <w:b w:val="0"/>
        </w:rPr>
        <w:t>然而過程</w:t>
      </w:r>
      <w:r w:rsidRPr="002801B0">
        <w:rPr>
          <w:rFonts w:hint="eastAsia"/>
          <w:b w:val="0"/>
        </w:rPr>
        <w:lastRenderedPageBreak/>
        <w:t>中，社會輿論與政治角力不斷，究竟何時能審議通過據以公告實施，該府亦無</w:t>
      </w:r>
      <w:r w:rsidR="00266025">
        <w:rPr>
          <w:rFonts w:hint="eastAsia"/>
          <w:b w:val="0"/>
        </w:rPr>
        <w:t>把握</w:t>
      </w:r>
      <w:r w:rsidRPr="002801B0">
        <w:rPr>
          <w:rFonts w:hint="eastAsia"/>
          <w:b w:val="0"/>
        </w:rPr>
        <w:t>。此外，大彎北段與內湖五期</w:t>
      </w:r>
      <w:r w:rsidRPr="00F46A41">
        <w:rPr>
          <w:rStyle w:val="afc"/>
          <w:rFonts w:hAnsi="標楷體"/>
          <w:b w:val="0"/>
          <w:szCs w:val="32"/>
        </w:rPr>
        <w:footnoteReference w:id="2"/>
      </w:r>
      <w:r w:rsidRPr="002801B0">
        <w:rPr>
          <w:rFonts w:hint="eastAsia"/>
          <w:b w:val="0"/>
        </w:rPr>
        <w:t>專案查處作業雖已進行稽查及裁罰程序，刻正受理訴願與訴訟等行政救濟，惟該府自承，截至109年1月底止，已受理訴願848案，訴訟468案，並持續增加中，顯見其查處作業容非短期所能竣事。臺北市政府既已掌握各處之違規事實，並稱臺北市內湖區與南港區都市計畫通盤檢討案甫於107年、108年間公告實施</w:t>
      </w:r>
      <w:r w:rsidRPr="00F46A41">
        <w:rPr>
          <w:rStyle w:val="afc"/>
          <w:b w:val="0"/>
        </w:rPr>
        <w:footnoteReference w:id="3"/>
      </w:r>
      <w:r w:rsidRPr="002801B0">
        <w:rPr>
          <w:rFonts w:hint="eastAsia"/>
          <w:b w:val="0"/>
        </w:rPr>
        <w:t>在案，上述通盤檢討案針對內湖區舊宗段、南港區向陽段商業區仍維持不得移作住宅使用之規定，卻未即時依法查處，坐視違規使用者以住家用稅率繳交房屋稅，坐享低稅優惠，有失公平正義，且該府先前即因對於大彎北段之違規事實與稽查作業長期消極</w:t>
      </w:r>
      <w:r w:rsidRPr="002801B0">
        <w:rPr>
          <w:rFonts w:hint="eastAsia"/>
          <w:b w:val="0"/>
        </w:rPr>
        <w:lastRenderedPageBreak/>
        <w:t>放任，造成嗣後為導正此一沉痾損耗巨大之行政成本與社會成本，殷鑑猶在</w:t>
      </w:r>
      <w:r w:rsidRPr="00FC1F8E">
        <w:rPr>
          <w:rFonts w:hint="eastAsia"/>
          <w:b w:val="0"/>
        </w:rPr>
        <w:t>，</w:t>
      </w:r>
      <w:r w:rsidR="00FC1F8E" w:rsidRPr="00FC1F8E">
        <w:rPr>
          <w:rFonts w:hint="eastAsia"/>
          <w:b w:val="0"/>
        </w:rPr>
        <w:t>該府似不宜等待大彎北段與內湖五期專案查處作業辦理完竣後，或是內政部都市計畫委員會審議通過大彎北段處理方式後，再行著手處理。</w:t>
      </w:r>
      <w:r w:rsidR="0015570F" w:rsidRPr="00FC1F8E">
        <w:rPr>
          <w:rFonts w:hint="eastAsia"/>
          <w:b w:val="0"/>
        </w:rPr>
        <w:t>為避免重蹈覆轍，臺北市政府允應積極排定具體時程，落實既有違規案件查處作業，以維土地使用分區管制精神並落實都市計畫預期目標。</w:t>
      </w:r>
    </w:p>
    <w:p w:rsidR="00F46A41" w:rsidRPr="00FC1F8E" w:rsidRDefault="00FC1F8E" w:rsidP="0015570F">
      <w:pPr>
        <w:pStyle w:val="2"/>
        <w:rPr>
          <w:b w:val="0"/>
        </w:rPr>
      </w:pPr>
      <w:r w:rsidRPr="00FC1F8E">
        <w:rPr>
          <w:rFonts w:hAnsi="標楷體" w:hint="eastAsia"/>
          <w:b w:val="0"/>
        </w:rPr>
        <w:t>綜上所述，截至109年4月止，</w:t>
      </w:r>
      <w:r w:rsidRPr="00FC1F8E">
        <w:rPr>
          <w:rFonts w:hint="eastAsia"/>
          <w:b w:val="0"/>
        </w:rPr>
        <w:t>臺北市都市計畫規定不得移作住宅使用之商業區與特定專用區，除大彎北段外，尚有3處206戶涉移作住宅使用且以住家用稅率繳交房屋稅，違反都市計畫土地使用分區管制之規定。臺北市政府雖辯稱人力有限，將俟大彎北段與內湖五期專案查處作業辦理完竣後，再依序訂定其他地區處理期程云云。惟鑑於各處違規使用之性質與強度不一，大彎北段都市計畫檢討案</w:t>
      </w:r>
      <w:r w:rsidR="001A11BC">
        <w:rPr>
          <w:rFonts w:hint="eastAsia"/>
          <w:b w:val="0"/>
        </w:rPr>
        <w:t>內政部</w:t>
      </w:r>
      <w:r w:rsidRPr="00FC1F8E">
        <w:rPr>
          <w:rFonts w:hint="eastAsia"/>
          <w:b w:val="0"/>
        </w:rPr>
        <w:t>何時審議通過亦無定論，相關查處作業又非短期所能竣事，再三延宕的結果，違規使用情形將可能持續增加，平添日後處理之複雜度。大彎北段殷鑑猶在，臺北市政府對於既有違規案件卻遲遲未能履行查處，容任違規事實之導正遙遙無期，殊有未當</w:t>
      </w:r>
      <w:r w:rsidR="0015570F" w:rsidRPr="001542E3">
        <w:rPr>
          <w:rFonts w:hAnsi="標楷體" w:hint="eastAsia"/>
          <w:b w:val="0"/>
          <w:szCs w:val="32"/>
        </w:rPr>
        <w:t>，爰依監察法第24條規定提案</w:t>
      </w:r>
      <w:r w:rsidR="0015570F" w:rsidRPr="001542E3">
        <w:rPr>
          <w:rFonts w:hint="eastAsia"/>
          <w:b w:val="0"/>
        </w:rPr>
        <w:t>糾正，移送行政院督飭確實檢討改善見復</w:t>
      </w:r>
      <w:r w:rsidRPr="00FC1F8E">
        <w:rPr>
          <w:rFonts w:hint="eastAsia"/>
          <w:b w:val="0"/>
        </w:rPr>
        <w:t>。</w:t>
      </w:r>
    </w:p>
    <w:p w:rsidR="00416721" w:rsidRPr="00FF6357" w:rsidRDefault="00416721" w:rsidP="00233625">
      <w:pPr>
        <w:pStyle w:val="af"/>
        <w:rPr>
          <w:bCs/>
        </w:rPr>
      </w:pPr>
      <w:bookmarkStart w:id="51" w:name="_Toc524895649"/>
      <w:bookmarkStart w:id="52" w:name="_Toc524896195"/>
      <w:bookmarkStart w:id="53" w:name="_Toc524896225"/>
      <w:bookmarkStart w:id="54" w:name="_GoBack"/>
      <w:bookmarkEnd w:id="41"/>
      <w:bookmarkEnd w:id="42"/>
      <w:bookmarkEnd w:id="43"/>
      <w:bookmarkEnd w:id="44"/>
      <w:bookmarkEnd w:id="45"/>
      <w:bookmarkEnd w:id="46"/>
      <w:bookmarkEnd w:id="47"/>
      <w:bookmarkEnd w:id="48"/>
      <w:bookmarkEnd w:id="49"/>
      <w:bookmarkEnd w:id="50"/>
      <w:bookmarkEnd w:id="51"/>
      <w:bookmarkEnd w:id="52"/>
      <w:bookmarkEnd w:id="53"/>
      <w:bookmarkEnd w:id="54"/>
    </w:p>
    <w:sectPr w:rsidR="00416721" w:rsidRPr="00FF6357" w:rsidSect="00F46A41">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3493" w:rsidRDefault="00EF3493">
      <w:r>
        <w:separator/>
      </w:r>
    </w:p>
  </w:endnote>
  <w:endnote w:type="continuationSeparator" w:id="0">
    <w:p w:rsidR="00EF3493" w:rsidRDefault="00EF34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00"/>
    <w:family w:val="script"/>
    <w:pitch w:val="variable"/>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2AE9" w:rsidRDefault="00612AE9">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897612">
      <w:rPr>
        <w:rStyle w:val="ac"/>
        <w:noProof/>
        <w:sz w:val="24"/>
      </w:rPr>
      <w:t>9</w:t>
    </w:r>
    <w:r>
      <w:rPr>
        <w:rStyle w:val="ac"/>
        <w:sz w:val="24"/>
      </w:rPr>
      <w:fldChar w:fldCharType="end"/>
    </w:r>
  </w:p>
  <w:p w:rsidR="00612AE9" w:rsidRDefault="00612AE9">
    <w:pPr>
      <w:framePr w:wrap="auto" w:hAnchor="text" w:y="-955"/>
      <w:ind w:left="640" w:right="360" w:firstLine="448"/>
      <w:jc w:val="right"/>
    </w:pPr>
  </w:p>
  <w:p w:rsidR="00526139" w:rsidRDefault="0052613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3493" w:rsidRDefault="00EF3493">
      <w:r>
        <w:separator/>
      </w:r>
    </w:p>
  </w:footnote>
  <w:footnote w:type="continuationSeparator" w:id="0">
    <w:p w:rsidR="00EF3493" w:rsidRDefault="00EF3493">
      <w:r>
        <w:continuationSeparator/>
      </w:r>
    </w:p>
  </w:footnote>
  <w:footnote w:id="1">
    <w:p w:rsidR="00F46A41" w:rsidRPr="00FC6D4B" w:rsidRDefault="00F46A41" w:rsidP="00F46A41">
      <w:pPr>
        <w:pStyle w:val="afa"/>
        <w:wordWrap w:val="0"/>
        <w:ind w:left="176" w:hangingChars="80" w:hanging="176"/>
        <w:jc w:val="both"/>
        <w:rPr>
          <w:rFonts w:ascii="標楷體" w:hAnsi="標楷體"/>
        </w:rPr>
      </w:pPr>
      <w:r w:rsidRPr="00FC6D4B">
        <w:rPr>
          <w:rStyle w:val="afc"/>
          <w:rFonts w:ascii="標楷體" w:hAnsi="標楷體"/>
        </w:rPr>
        <w:footnoteRef/>
      </w:r>
      <w:r w:rsidRPr="00FC6D4B">
        <w:rPr>
          <w:rFonts w:ascii="標楷體" w:hAnsi="標楷體"/>
        </w:rPr>
        <w:t xml:space="preserve"> </w:t>
      </w:r>
      <w:r w:rsidRPr="00FC6D4B">
        <w:rPr>
          <w:rFonts w:ascii="標楷體" w:hAnsi="標楷體" w:hint="eastAsia"/>
        </w:rPr>
        <w:t>臺北市都市計畫委員會108年7月11日第751次會議針對中山通檢案內之「大直生活圈」部分審議通過。審議通過重點包括:（1）大彎北段全區（包括商業區、娛樂區）有條件放寬住宅使用，非限於既有違規住宅。（2）該通檢計畫案公開展覽（107年10月1日）前領得使用執照之既有建築，1樓仍應維持商業使用，開放2樓以上得作住宅使用，以戶為單元申請並繳交回饋金，取得住宅使用許可；回饋金得分期繳納，以1年為1期，最多5期。其中，商業區（供觀光旅館使用）之既有建築，得在小於50%法定容積比例下，繳交回饋金作住宅使用。（3）其餘包括商業區、娛樂區現有空地及尚未領得使</w:t>
      </w:r>
      <w:r w:rsidR="00266025">
        <w:rPr>
          <w:rFonts w:ascii="標楷體" w:hAnsi="標楷體" w:hint="eastAsia"/>
        </w:rPr>
        <w:t>用執</w:t>
      </w:r>
      <w:r w:rsidRPr="00FC6D4B">
        <w:rPr>
          <w:rFonts w:ascii="標楷體" w:hAnsi="標楷體" w:hint="eastAsia"/>
        </w:rPr>
        <w:t>照建築基地，開放得在3樓以上且小於50%法定容積比例下，住宅由高樓層往下連續設置為原則，於領得使用執照前繳交回饋金，取得住宅使用許可。（4）回饋金經市府先以107年土地價值進行估算，1坪約8.68萬元。惟考量既有違規住宅之形成，除建商外，部分亦源於政府之稽查實有法未明定致力有未逮之處，基於客觀公平的考量，同時為鼓勵既有違規住宅使用儘速完成合法使用申請，故訂定計畫公告實施5年內申請者，既有建築回饋金得以6折繳交，估算1坪約為5.21萬元。（資料來源：臺北市政府新聞稿，https://www.gov.taipei/News_Content.aspx?n=2044902FC839D045&amp;sms=72544237BBE4C5F6&amp;s=6B841C6758B6262F，瀏覽日期：109年5月1日）</w:t>
      </w:r>
    </w:p>
  </w:footnote>
  <w:footnote w:id="2">
    <w:p w:rsidR="00F46A41" w:rsidRPr="00FC6D4B" w:rsidRDefault="00F46A41" w:rsidP="00F46A41">
      <w:pPr>
        <w:pStyle w:val="afa"/>
        <w:ind w:left="176" w:hangingChars="80" w:hanging="176"/>
        <w:jc w:val="both"/>
        <w:rPr>
          <w:rFonts w:ascii="標楷體" w:hAnsi="標楷體"/>
        </w:rPr>
      </w:pPr>
      <w:r w:rsidRPr="00FC6D4B">
        <w:rPr>
          <w:rStyle w:val="afc"/>
          <w:rFonts w:ascii="標楷體" w:hAnsi="標楷體"/>
        </w:rPr>
        <w:footnoteRef/>
      </w:r>
      <w:r w:rsidRPr="00FC6D4B">
        <w:rPr>
          <w:rFonts w:ascii="標楷體" w:hAnsi="標楷體"/>
        </w:rPr>
        <w:t xml:space="preserve"> </w:t>
      </w:r>
      <w:r w:rsidRPr="00FC6D4B">
        <w:rPr>
          <w:rFonts w:ascii="標楷體" w:hAnsi="標楷體" w:hint="eastAsia"/>
        </w:rPr>
        <w:t>臺北市政府表示：（1）內湖科技園區發展腹地有限，隨著產業進駐，整體使用已達95%以上，園區發展已趨飽和，為擴大園區發展動能，該府推動「大內科計畫」，將鄰近內科的大彎南段工業區與內湖五期重劃區之工商混合專用區納入大內湖科技園區範圍，產業使用項目比照內湖科技園區，放寬資通訊、研發設計、金融保險、製造業等產業進駐。（2）臺北市土地面積約27,180公頃，其中工業區面積約426.91公頃，占全市總面積1.57%，主要分布內湖及南港兩區，兩區即占全市68.01%，為臺北市產業發展重點區域。目前各工業區之使用率（除五期重劃區及蘆洲里、小彎工業區）皆達7成以上，然而在全市工業區及產業用地供給總量無法大量擴增之現況下，各工業區使用已趨飽和，惟臺北市仍有產業用地之需求，臺北市目前儲備之產業用地僅餘北投士林科技園區。（3）內湖五期特定專用區位於臺北科技走廊產業軸帶核心，且依該府提送內政部之「臺北市都市發展暨工業檢討變更策略」(107年5月29日核定)，將其列為鞏固產業核心地區，故經評估目前產業發展現況及未來都市及產業發展情形，該計畫區尚有產業發展之需求，是以仍維持現行都市計畫，該府目前尚無檢討變更為其他土地使用分區之規劃。</w:t>
      </w:r>
    </w:p>
  </w:footnote>
  <w:footnote w:id="3">
    <w:p w:rsidR="00F46A41" w:rsidRPr="00FC6D4B" w:rsidRDefault="00F46A41" w:rsidP="00F46A41">
      <w:pPr>
        <w:pStyle w:val="afa"/>
        <w:ind w:left="176" w:hangingChars="80" w:hanging="176"/>
        <w:jc w:val="both"/>
        <w:rPr>
          <w:rFonts w:ascii="標楷體" w:hAnsi="標楷體"/>
        </w:rPr>
      </w:pPr>
      <w:r w:rsidRPr="00FC6D4B">
        <w:rPr>
          <w:rStyle w:val="afc"/>
          <w:rFonts w:ascii="標楷體" w:hAnsi="標楷體"/>
        </w:rPr>
        <w:footnoteRef/>
      </w:r>
      <w:r w:rsidRPr="00FC6D4B">
        <w:rPr>
          <w:rFonts w:ascii="標楷體" w:hAnsi="標楷體"/>
        </w:rPr>
        <w:t xml:space="preserve"> </w:t>
      </w:r>
      <w:r w:rsidRPr="00FC6D4B">
        <w:rPr>
          <w:rFonts w:ascii="標楷體" w:hAnsi="標楷體" w:hint="eastAsia"/>
        </w:rPr>
        <w:t>臺北市內湖區都市計畫通盤檢討主要計畫案分別於107年7月17日(第一階段)、108年1月11日(第二階段)、108年3月19日(第三階段)公告實施；南港區都市計畫主要計畫(第二次通盤檢討)案則於107年12月17日公告實施。</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80C22844"/>
    <w:lvl w:ilvl="0">
      <w:start w:val="1"/>
      <w:numFmt w:val="ideographLegalTraditional"/>
      <w:pStyle w:val="1"/>
      <w:suff w:val="nothing"/>
      <w:lvlText w:val="%1、"/>
      <w:lvlJc w:val="left"/>
      <w:pPr>
        <w:ind w:left="2722" w:hanging="2722"/>
      </w:pPr>
      <w:rPr>
        <w:rFonts w:ascii="標楷體" w:eastAsia="標楷體" w:hint="eastAsia"/>
        <w:b/>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hadow w:val="0"/>
        <w:emboss w:val="0"/>
        <w:imprint w:val="0"/>
        <w:snapToGrid/>
        <w:vanish w:val="0"/>
        <w:spacing w:val="0"/>
        <w:w w:val="100"/>
        <w:kern w:val="32"/>
        <w:position w:val="0"/>
        <w:sz w:val="32"/>
        <w:vertAlign w:val="base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hadow w:val="0"/>
        <w:emboss w:val="0"/>
        <w:imprint w:val="0"/>
        <w:snapToGrid/>
        <w:vanish w:val="0"/>
        <w:spacing w:val="0"/>
        <w:w w:val="100"/>
        <w:kern w:val="32"/>
        <w:position w:val="0"/>
        <w:sz w:val="32"/>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outline w:val="0"/>
        <w:shadow w:val="0"/>
        <w:emboss w:val="0"/>
        <w:imprint w:val="0"/>
        <w:snapToGrid/>
        <w:vanish w:val="0"/>
        <w:spacing w:val="0"/>
        <w:w w:val="100"/>
        <w:kern w:val="32"/>
        <w:position w:val="0"/>
        <w:sz w:val="32"/>
        <w:u w:val="none"/>
        <w:vertAlign w:val="baseline"/>
        <w:em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5991001"/>
    <w:multiLevelType w:val="hybridMultilevel"/>
    <w:tmpl w:val="58869F10"/>
    <w:lvl w:ilvl="0" w:tplc="93D283AA">
      <w:start w:val="1"/>
      <w:numFmt w:val="decimal"/>
      <w:lvlText w:val="%1、"/>
      <w:lvlJc w:val="left"/>
      <w:pPr>
        <w:ind w:left="512" w:hanging="480"/>
      </w:pPr>
      <w:rPr>
        <w:rFonts w:hint="eastAsia"/>
      </w:rPr>
    </w:lvl>
    <w:lvl w:ilvl="1" w:tplc="04090019" w:tentative="1">
      <w:start w:val="1"/>
      <w:numFmt w:val="ideographTraditional"/>
      <w:lvlText w:val="%2、"/>
      <w:lvlJc w:val="left"/>
      <w:pPr>
        <w:ind w:left="992" w:hanging="480"/>
      </w:pPr>
    </w:lvl>
    <w:lvl w:ilvl="2" w:tplc="0409001B" w:tentative="1">
      <w:start w:val="1"/>
      <w:numFmt w:val="lowerRoman"/>
      <w:lvlText w:val="%3."/>
      <w:lvlJc w:val="right"/>
      <w:pPr>
        <w:ind w:left="1472" w:hanging="480"/>
      </w:pPr>
    </w:lvl>
    <w:lvl w:ilvl="3" w:tplc="0409000F" w:tentative="1">
      <w:start w:val="1"/>
      <w:numFmt w:val="decimal"/>
      <w:lvlText w:val="%4."/>
      <w:lvlJc w:val="left"/>
      <w:pPr>
        <w:ind w:left="1952" w:hanging="480"/>
      </w:pPr>
    </w:lvl>
    <w:lvl w:ilvl="4" w:tplc="04090019" w:tentative="1">
      <w:start w:val="1"/>
      <w:numFmt w:val="ideographTraditional"/>
      <w:lvlText w:val="%5、"/>
      <w:lvlJc w:val="left"/>
      <w:pPr>
        <w:ind w:left="2432" w:hanging="480"/>
      </w:pPr>
    </w:lvl>
    <w:lvl w:ilvl="5" w:tplc="0409001B" w:tentative="1">
      <w:start w:val="1"/>
      <w:numFmt w:val="lowerRoman"/>
      <w:lvlText w:val="%6."/>
      <w:lvlJc w:val="right"/>
      <w:pPr>
        <w:ind w:left="2912" w:hanging="480"/>
      </w:pPr>
    </w:lvl>
    <w:lvl w:ilvl="6" w:tplc="0409000F" w:tentative="1">
      <w:start w:val="1"/>
      <w:numFmt w:val="decimal"/>
      <w:lvlText w:val="%7."/>
      <w:lvlJc w:val="left"/>
      <w:pPr>
        <w:ind w:left="3392" w:hanging="480"/>
      </w:pPr>
    </w:lvl>
    <w:lvl w:ilvl="7" w:tplc="04090019" w:tentative="1">
      <w:start w:val="1"/>
      <w:numFmt w:val="ideographTraditional"/>
      <w:lvlText w:val="%8、"/>
      <w:lvlJc w:val="left"/>
      <w:pPr>
        <w:ind w:left="3872" w:hanging="480"/>
      </w:pPr>
    </w:lvl>
    <w:lvl w:ilvl="8" w:tplc="0409001B" w:tentative="1">
      <w:start w:val="1"/>
      <w:numFmt w:val="lowerRoman"/>
      <w:lvlText w:val="%9."/>
      <w:lvlJc w:val="right"/>
      <w:pPr>
        <w:ind w:left="4352" w:hanging="480"/>
      </w:pPr>
    </w:lvl>
  </w:abstractNum>
  <w:abstractNum w:abstractNumId="8"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2"/>
  </w:num>
  <w:num w:numId="19">
    <w:abstractNumId w:val="2"/>
    <w:lvlOverride w:ilvl="0">
      <w:startOverride w:val="1"/>
    </w:lvlOverride>
  </w:num>
  <w:num w:numId="20">
    <w:abstractNumId w:val="1"/>
  </w:num>
  <w:num w:numId="21">
    <w:abstractNumId w:val="2"/>
  </w:num>
  <w:num w:numId="22">
    <w:abstractNumId w:val="5"/>
  </w:num>
  <w:num w:numId="23">
    <w:abstractNumId w:val="3"/>
  </w:num>
  <w:num w:numId="24">
    <w:abstractNumId w:val="6"/>
  </w:num>
  <w:num w:numId="25">
    <w:abstractNumId w:val="1"/>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8"/>
  </w:num>
  <w:num w:numId="29">
    <w:abstractNumId w:val="8"/>
  </w:num>
  <w:num w:numId="30">
    <w:abstractNumId w:val="4"/>
  </w:num>
  <w:num w:numId="31">
    <w:abstractNumId w:val="4"/>
  </w:num>
  <w:num w:numId="32">
    <w:abstractNumId w:val="1"/>
  </w:num>
  <w:num w:numId="33">
    <w:abstractNumId w:val="1"/>
  </w:num>
  <w:num w:numId="34">
    <w:abstractNumId w:val="1"/>
  </w:num>
  <w:num w:numId="35">
    <w:abstractNumId w:val="7"/>
  </w:num>
  <w:num w:numId="36">
    <w:abstractNumId w:val="1"/>
  </w:num>
  <w:num w:numId="37">
    <w:abstractNumId w:val="1"/>
  </w:num>
  <w:num w:numId="38">
    <w:abstractNumId w:val="1"/>
  </w:num>
  <w:num w:numId="39">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mirrorMargins/>
  <w:bordersDoNotSurroundHeader/>
  <w:bordersDoNotSurroundFooter/>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2"/>
  </w:compat>
  <w:rsids>
    <w:rsidRoot w:val="00A302B2"/>
    <w:rsid w:val="00006961"/>
    <w:rsid w:val="000112BF"/>
    <w:rsid w:val="00012233"/>
    <w:rsid w:val="00017318"/>
    <w:rsid w:val="000246F7"/>
    <w:rsid w:val="0003114D"/>
    <w:rsid w:val="00036D76"/>
    <w:rsid w:val="00050778"/>
    <w:rsid w:val="000512D1"/>
    <w:rsid w:val="00055F4B"/>
    <w:rsid w:val="00057F32"/>
    <w:rsid w:val="00057F34"/>
    <w:rsid w:val="00062A25"/>
    <w:rsid w:val="000664D9"/>
    <w:rsid w:val="00073CB5"/>
    <w:rsid w:val="0007425C"/>
    <w:rsid w:val="00077553"/>
    <w:rsid w:val="00080040"/>
    <w:rsid w:val="000851A2"/>
    <w:rsid w:val="0009352E"/>
    <w:rsid w:val="00096B96"/>
    <w:rsid w:val="00097136"/>
    <w:rsid w:val="000A2F3F"/>
    <w:rsid w:val="000B0B4A"/>
    <w:rsid w:val="000B279A"/>
    <w:rsid w:val="000B61D2"/>
    <w:rsid w:val="000B70A7"/>
    <w:rsid w:val="000C495F"/>
    <w:rsid w:val="000E0363"/>
    <w:rsid w:val="000E6431"/>
    <w:rsid w:val="000F0D35"/>
    <w:rsid w:val="000F21A5"/>
    <w:rsid w:val="00102B9F"/>
    <w:rsid w:val="00112637"/>
    <w:rsid w:val="0012001E"/>
    <w:rsid w:val="00126A55"/>
    <w:rsid w:val="00133F08"/>
    <w:rsid w:val="001345E6"/>
    <w:rsid w:val="001378B0"/>
    <w:rsid w:val="00142E00"/>
    <w:rsid w:val="00152793"/>
    <w:rsid w:val="001542E3"/>
    <w:rsid w:val="001545A9"/>
    <w:rsid w:val="0015570F"/>
    <w:rsid w:val="001637C7"/>
    <w:rsid w:val="0016480E"/>
    <w:rsid w:val="00172A7D"/>
    <w:rsid w:val="00174297"/>
    <w:rsid w:val="001817B3"/>
    <w:rsid w:val="00183014"/>
    <w:rsid w:val="001959C2"/>
    <w:rsid w:val="001A11BC"/>
    <w:rsid w:val="001A7968"/>
    <w:rsid w:val="001B3483"/>
    <w:rsid w:val="001B3C1E"/>
    <w:rsid w:val="001B4494"/>
    <w:rsid w:val="001B776F"/>
    <w:rsid w:val="001C0D8B"/>
    <w:rsid w:val="001C0DA8"/>
    <w:rsid w:val="001C19D4"/>
    <w:rsid w:val="001E0D8A"/>
    <w:rsid w:val="001E67BA"/>
    <w:rsid w:val="001E74C2"/>
    <w:rsid w:val="001F2844"/>
    <w:rsid w:val="001F5A48"/>
    <w:rsid w:val="001F6260"/>
    <w:rsid w:val="00200007"/>
    <w:rsid w:val="002030A5"/>
    <w:rsid w:val="00203131"/>
    <w:rsid w:val="00210150"/>
    <w:rsid w:val="00212E88"/>
    <w:rsid w:val="00213C9C"/>
    <w:rsid w:val="0022009E"/>
    <w:rsid w:val="002227DC"/>
    <w:rsid w:val="0022425C"/>
    <w:rsid w:val="002246DE"/>
    <w:rsid w:val="00233625"/>
    <w:rsid w:val="002421B5"/>
    <w:rsid w:val="0025106C"/>
    <w:rsid w:val="00252BC4"/>
    <w:rsid w:val="00254014"/>
    <w:rsid w:val="0026504D"/>
    <w:rsid w:val="00266025"/>
    <w:rsid w:val="00273A2F"/>
    <w:rsid w:val="002801B0"/>
    <w:rsid w:val="00280986"/>
    <w:rsid w:val="00281ECE"/>
    <w:rsid w:val="002831C7"/>
    <w:rsid w:val="002840C6"/>
    <w:rsid w:val="00286B1B"/>
    <w:rsid w:val="00294D55"/>
    <w:rsid w:val="00295174"/>
    <w:rsid w:val="00296172"/>
    <w:rsid w:val="00296B92"/>
    <w:rsid w:val="002A2C22"/>
    <w:rsid w:val="002B02EB"/>
    <w:rsid w:val="002C0602"/>
    <w:rsid w:val="002D5C16"/>
    <w:rsid w:val="002E69E7"/>
    <w:rsid w:val="002F3DFF"/>
    <w:rsid w:val="002F5E05"/>
    <w:rsid w:val="00317053"/>
    <w:rsid w:val="0032109C"/>
    <w:rsid w:val="00322B45"/>
    <w:rsid w:val="00323809"/>
    <w:rsid w:val="00323D41"/>
    <w:rsid w:val="00325414"/>
    <w:rsid w:val="003302F1"/>
    <w:rsid w:val="0034470E"/>
    <w:rsid w:val="00346DAE"/>
    <w:rsid w:val="00352DB0"/>
    <w:rsid w:val="00371833"/>
    <w:rsid w:val="00371ED3"/>
    <w:rsid w:val="0037728A"/>
    <w:rsid w:val="00380B7D"/>
    <w:rsid w:val="00381A99"/>
    <w:rsid w:val="003829C2"/>
    <w:rsid w:val="00384724"/>
    <w:rsid w:val="003919B7"/>
    <w:rsid w:val="00391D57"/>
    <w:rsid w:val="00392292"/>
    <w:rsid w:val="00397C5B"/>
    <w:rsid w:val="003A5B7B"/>
    <w:rsid w:val="003B1017"/>
    <w:rsid w:val="003B3C07"/>
    <w:rsid w:val="003B6775"/>
    <w:rsid w:val="003C5FE2"/>
    <w:rsid w:val="003D05FB"/>
    <w:rsid w:val="003D1B16"/>
    <w:rsid w:val="003D45BF"/>
    <w:rsid w:val="003D508A"/>
    <w:rsid w:val="003D537F"/>
    <w:rsid w:val="003D7B75"/>
    <w:rsid w:val="003E0208"/>
    <w:rsid w:val="003E4B57"/>
    <w:rsid w:val="003F27E1"/>
    <w:rsid w:val="003F437A"/>
    <w:rsid w:val="003F5C2B"/>
    <w:rsid w:val="004023E9"/>
    <w:rsid w:val="0040592D"/>
    <w:rsid w:val="00413549"/>
    <w:rsid w:val="00413F83"/>
    <w:rsid w:val="0041490C"/>
    <w:rsid w:val="00416191"/>
    <w:rsid w:val="00416721"/>
    <w:rsid w:val="00421EF0"/>
    <w:rsid w:val="004224FA"/>
    <w:rsid w:val="00423D07"/>
    <w:rsid w:val="004255DB"/>
    <w:rsid w:val="0044135F"/>
    <w:rsid w:val="0044346F"/>
    <w:rsid w:val="0045119F"/>
    <w:rsid w:val="0046520A"/>
    <w:rsid w:val="004672AB"/>
    <w:rsid w:val="004714FE"/>
    <w:rsid w:val="00485CDE"/>
    <w:rsid w:val="004913FE"/>
    <w:rsid w:val="00495053"/>
    <w:rsid w:val="004A1F59"/>
    <w:rsid w:val="004A29BE"/>
    <w:rsid w:val="004A3225"/>
    <w:rsid w:val="004A33EE"/>
    <w:rsid w:val="004A3AA8"/>
    <w:rsid w:val="004B13C7"/>
    <w:rsid w:val="004B778F"/>
    <w:rsid w:val="004C5721"/>
    <w:rsid w:val="004C5DD4"/>
    <w:rsid w:val="004C736C"/>
    <w:rsid w:val="004D141F"/>
    <w:rsid w:val="004D58DC"/>
    <w:rsid w:val="004D6310"/>
    <w:rsid w:val="004E0062"/>
    <w:rsid w:val="004E05A1"/>
    <w:rsid w:val="004F5E57"/>
    <w:rsid w:val="004F6710"/>
    <w:rsid w:val="00502849"/>
    <w:rsid w:val="00504334"/>
    <w:rsid w:val="005104D7"/>
    <w:rsid w:val="00510B9E"/>
    <w:rsid w:val="00526139"/>
    <w:rsid w:val="00531D2C"/>
    <w:rsid w:val="00536BC2"/>
    <w:rsid w:val="005425E1"/>
    <w:rsid w:val="005427C5"/>
    <w:rsid w:val="00542CF6"/>
    <w:rsid w:val="00553C03"/>
    <w:rsid w:val="00563692"/>
    <w:rsid w:val="0056753A"/>
    <w:rsid w:val="00571349"/>
    <w:rsid w:val="00581957"/>
    <w:rsid w:val="005908B8"/>
    <w:rsid w:val="0059512E"/>
    <w:rsid w:val="005A6DD2"/>
    <w:rsid w:val="005C385D"/>
    <w:rsid w:val="005D3B20"/>
    <w:rsid w:val="005E5C68"/>
    <w:rsid w:val="005E65C0"/>
    <w:rsid w:val="005F0390"/>
    <w:rsid w:val="00612023"/>
    <w:rsid w:val="006128D2"/>
    <w:rsid w:val="00612AE9"/>
    <w:rsid w:val="00614190"/>
    <w:rsid w:val="00622A99"/>
    <w:rsid w:val="00622E67"/>
    <w:rsid w:val="00626EDC"/>
    <w:rsid w:val="00632CD9"/>
    <w:rsid w:val="006470EC"/>
    <w:rsid w:val="0065598E"/>
    <w:rsid w:val="00655AF2"/>
    <w:rsid w:val="006568BE"/>
    <w:rsid w:val="0066025D"/>
    <w:rsid w:val="006743FF"/>
    <w:rsid w:val="006773EC"/>
    <w:rsid w:val="00680504"/>
    <w:rsid w:val="00681CD9"/>
    <w:rsid w:val="00683E30"/>
    <w:rsid w:val="00687024"/>
    <w:rsid w:val="00687BE4"/>
    <w:rsid w:val="00696415"/>
    <w:rsid w:val="006D3691"/>
    <w:rsid w:val="006E2DCE"/>
    <w:rsid w:val="006F3563"/>
    <w:rsid w:val="006F3C0E"/>
    <w:rsid w:val="006F42B9"/>
    <w:rsid w:val="006F6103"/>
    <w:rsid w:val="00704E00"/>
    <w:rsid w:val="007209E7"/>
    <w:rsid w:val="00726182"/>
    <w:rsid w:val="00730564"/>
    <w:rsid w:val="00732329"/>
    <w:rsid w:val="007337CA"/>
    <w:rsid w:val="00734CE4"/>
    <w:rsid w:val="00735123"/>
    <w:rsid w:val="00741837"/>
    <w:rsid w:val="007453E6"/>
    <w:rsid w:val="0075243E"/>
    <w:rsid w:val="007666F5"/>
    <w:rsid w:val="0077309D"/>
    <w:rsid w:val="007774EE"/>
    <w:rsid w:val="00781822"/>
    <w:rsid w:val="00783F21"/>
    <w:rsid w:val="00787159"/>
    <w:rsid w:val="00791668"/>
    <w:rsid w:val="00791AA1"/>
    <w:rsid w:val="007A3793"/>
    <w:rsid w:val="007C1BA2"/>
    <w:rsid w:val="007D20E9"/>
    <w:rsid w:val="007D7881"/>
    <w:rsid w:val="007D7E3A"/>
    <w:rsid w:val="007E0E10"/>
    <w:rsid w:val="007E4768"/>
    <w:rsid w:val="007E4A1E"/>
    <w:rsid w:val="007E5BDD"/>
    <w:rsid w:val="007E6EF5"/>
    <w:rsid w:val="007E777B"/>
    <w:rsid w:val="007F2070"/>
    <w:rsid w:val="008053F5"/>
    <w:rsid w:val="00810198"/>
    <w:rsid w:val="00815DA8"/>
    <w:rsid w:val="008164D2"/>
    <w:rsid w:val="0082194D"/>
    <w:rsid w:val="00826EF5"/>
    <w:rsid w:val="00831693"/>
    <w:rsid w:val="00840104"/>
    <w:rsid w:val="00841FC5"/>
    <w:rsid w:val="00845709"/>
    <w:rsid w:val="00854CB3"/>
    <w:rsid w:val="008576BD"/>
    <w:rsid w:val="00857C8A"/>
    <w:rsid w:val="00860463"/>
    <w:rsid w:val="00861F03"/>
    <w:rsid w:val="008733DA"/>
    <w:rsid w:val="008805DA"/>
    <w:rsid w:val="008850E4"/>
    <w:rsid w:val="00897612"/>
    <w:rsid w:val="008A12F5"/>
    <w:rsid w:val="008B1587"/>
    <w:rsid w:val="008B1B01"/>
    <w:rsid w:val="008B3BCD"/>
    <w:rsid w:val="008B4841"/>
    <w:rsid w:val="008B6DF8"/>
    <w:rsid w:val="008C106C"/>
    <w:rsid w:val="008C10F1"/>
    <w:rsid w:val="008C1E99"/>
    <w:rsid w:val="008D4820"/>
    <w:rsid w:val="008E0085"/>
    <w:rsid w:val="008E2AA6"/>
    <w:rsid w:val="008E311B"/>
    <w:rsid w:val="008F46E7"/>
    <w:rsid w:val="008F6F0B"/>
    <w:rsid w:val="00907BA7"/>
    <w:rsid w:val="0091064E"/>
    <w:rsid w:val="00911FC5"/>
    <w:rsid w:val="00922059"/>
    <w:rsid w:val="00931A10"/>
    <w:rsid w:val="00947967"/>
    <w:rsid w:val="00961713"/>
    <w:rsid w:val="00965200"/>
    <w:rsid w:val="009668B3"/>
    <w:rsid w:val="00971471"/>
    <w:rsid w:val="009849C2"/>
    <w:rsid w:val="00984D24"/>
    <w:rsid w:val="009858EB"/>
    <w:rsid w:val="009B0046"/>
    <w:rsid w:val="009C1440"/>
    <w:rsid w:val="009C2107"/>
    <w:rsid w:val="009C5D9E"/>
    <w:rsid w:val="009D2C3E"/>
    <w:rsid w:val="009E0625"/>
    <w:rsid w:val="009E3034"/>
    <w:rsid w:val="009E549F"/>
    <w:rsid w:val="009E796F"/>
    <w:rsid w:val="009F28A8"/>
    <w:rsid w:val="009F4020"/>
    <w:rsid w:val="009F473E"/>
    <w:rsid w:val="009F682A"/>
    <w:rsid w:val="00A022BE"/>
    <w:rsid w:val="00A231D3"/>
    <w:rsid w:val="00A24C95"/>
    <w:rsid w:val="00A26094"/>
    <w:rsid w:val="00A301BF"/>
    <w:rsid w:val="00A302B2"/>
    <w:rsid w:val="00A331B4"/>
    <w:rsid w:val="00A3484E"/>
    <w:rsid w:val="00A36ADA"/>
    <w:rsid w:val="00A438D8"/>
    <w:rsid w:val="00A473F5"/>
    <w:rsid w:val="00A51F9D"/>
    <w:rsid w:val="00A5416A"/>
    <w:rsid w:val="00A639F4"/>
    <w:rsid w:val="00A81A32"/>
    <w:rsid w:val="00A835BD"/>
    <w:rsid w:val="00A97B15"/>
    <w:rsid w:val="00AA2E25"/>
    <w:rsid w:val="00AA42D5"/>
    <w:rsid w:val="00AB2FAB"/>
    <w:rsid w:val="00AB5C14"/>
    <w:rsid w:val="00AC1EE7"/>
    <w:rsid w:val="00AC333F"/>
    <w:rsid w:val="00AC585C"/>
    <w:rsid w:val="00AD1925"/>
    <w:rsid w:val="00AE067D"/>
    <w:rsid w:val="00AF1181"/>
    <w:rsid w:val="00AF2F79"/>
    <w:rsid w:val="00AF4653"/>
    <w:rsid w:val="00AF7DB7"/>
    <w:rsid w:val="00B443E4"/>
    <w:rsid w:val="00B563EA"/>
    <w:rsid w:val="00B60E51"/>
    <w:rsid w:val="00B63A54"/>
    <w:rsid w:val="00B77D18"/>
    <w:rsid w:val="00B80594"/>
    <w:rsid w:val="00B8313A"/>
    <w:rsid w:val="00B83C6B"/>
    <w:rsid w:val="00B93503"/>
    <w:rsid w:val="00BA31E8"/>
    <w:rsid w:val="00BA55E0"/>
    <w:rsid w:val="00BA6BD4"/>
    <w:rsid w:val="00BB3752"/>
    <w:rsid w:val="00BB6688"/>
    <w:rsid w:val="00BC26D4"/>
    <w:rsid w:val="00BC64F2"/>
    <w:rsid w:val="00BD7D5D"/>
    <w:rsid w:val="00BE6241"/>
    <w:rsid w:val="00BF1DDA"/>
    <w:rsid w:val="00BF2A42"/>
    <w:rsid w:val="00BF5CC7"/>
    <w:rsid w:val="00BF6C03"/>
    <w:rsid w:val="00C03D8C"/>
    <w:rsid w:val="00C055EC"/>
    <w:rsid w:val="00C10DC9"/>
    <w:rsid w:val="00C12E7D"/>
    <w:rsid w:val="00C12FB3"/>
    <w:rsid w:val="00C17341"/>
    <w:rsid w:val="00C24EEF"/>
    <w:rsid w:val="00C25CF6"/>
    <w:rsid w:val="00C26C36"/>
    <w:rsid w:val="00C32768"/>
    <w:rsid w:val="00C431DF"/>
    <w:rsid w:val="00C456BD"/>
    <w:rsid w:val="00C50899"/>
    <w:rsid w:val="00C530DC"/>
    <w:rsid w:val="00C5350D"/>
    <w:rsid w:val="00C6123C"/>
    <w:rsid w:val="00C7084D"/>
    <w:rsid w:val="00C7315E"/>
    <w:rsid w:val="00C75895"/>
    <w:rsid w:val="00C83C9F"/>
    <w:rsid w:val="00C86866"/>
    <w:rsid w:val="00C94840"/>
    <w:rsid w:val="00CA32D1"/>
    <w:rsid w:val="00CA6AC8"/>
    <w:rsid w:val="00CB027F"/>
    <w:rsid w:val="00CC6297"/>
    <w:rsid w:val="00CC7690"/>
    <w:rsid w:val="00CD1986"/>
    <w:rsid w:val="00CE2596"/>
    <w:rsid w:val="00CE4D5C"/>
    <w:rsid w:val="00CF05DA"/>
    <w:rsid w:val="00CF3DA4"/>
    <w:rsid w:val="00CF4D3F"/>
    <w:rsid w:val="00CF58EB"/>
    <w:rsid w:val="00D0106E"/>
    <w:rsid w:val="00D06383"/>
    <w:rsid w:val="00D20E85"/>
    <w:rsid w:val="00D24615"/>
    <w:rsid w:val="00D27557"/>
    <w:rsid w:val="00D37842"/>
    <w:rsid w:val="00D42DC2"/>
    <w:rsid w:val="00D502FE"/>
    <w:rsid w:val="00D537E1"/>
    <w:rsid w:val="00D55BB2"/>
    <w:rsid w:val="00D6091A"/>
    <w:rsid w:val="00D6695F"/>
    <w:rsid w:val="00D75644"/>
    <w:rsid w:val="00D77767"/>
    <w:rsid w:val="00D81656"/>
    <w:rsid w:val="00D83D87"/>
    <w:rsid w:val="00D86A30"/>
    <w:rsid w:val="00D97CB4"/>
    <w:rsid w:val="00D97DD4"/>
    <w:rsid w:val="00DA5A8A"/>
    <w:rsid w:val="00DB26CD"/>
    <w:rsid w:val="00DB3135"/>
    <w:rsid w:val="00DB441C"/>
    <w:rsid w:val="00DB44AF"/>
    <w:rsid w:val="00DB4C07"/>
    <w:rsid w:val="00DC1F58"/>
    <w:rsid w:val="00DC339B"/>
    <w:rsid w:val="00DC5D40"/>
    <w:rsid w:val="00DC5F21"/>
    <w:rsid w:val="00DD30E9"/>
    <w:rsid w:val="00DD4F47"/>
    <w:rsid w:val="00DD7FBB"/>
    <w:rsid w:val="00DE0B9F"/>
    <w:rsid w:val="00DE4238"/>
    <w:rsid w:val="00DE42B9"/>
    <w:rsid w:val="00DE657F"/>
    <w:rsid w:val="00DF1218"/>
    <w:rsid w:val="00DF6462"/>
    <w:rsid w:val="00E02FA0"/>
    <w:rsid w:val="00E036DC"/>
    <w:rsid w:val="00E06F47"/>
    <w:rsid w:val="00E10454"/>
    <w:rsid w:val="00E112E5"/>
    <w:rsid w:val="00E11ED5"/>
    <w:rsid w:val="00E21CC7"/>
    <w:rsid w:val="00E24D9E"/>
    <w:rsid w:val="00E2567F"/>
    <w:rsid w:val="00E25849"/>
    <w:rsid w:val="00E30BEA"/>
    <w:rsid w:val="00E3197E"/>
    <w:rsid w:val="00E342F8"/>
    <w:rsid w:val="00E351ED"/>
    <w:rsid w:val="00E6034B"/>
    <w:rsid w:val="00E6549E"/>
    <w:rsid w:val="00E65EDE"/>
    <w:rsid w:val="00E70F81"/>
    <w:rsid w:val="00E77055"/>
    <w:rsid w:val="00E77460"/>
    <w:rsid w:val="00E83ABC"/>
    <w:rsid w:val="00E844F2"/>
    <w:rsid w:val="00E92FCB"/>
    <w:rsid w:val="00EA147F"/>
    <w:rsid w:val="00ED03AB"/>
    <w:rsid w:val="00ED0CAC"/>
    <w:rsid w:val="00ED1CD4"/>
    <w:rsid w:val="00ED1D2B"/>
    <w:rsid w:val="00ED64B5"/>
    <w:rsid w:val="00EE7CCA"/>
    <w:rsid w:val="00EF3493"/>
    <w:rsid w:val="00F16A14"/>
    <w:rsid w:val="00F231DC"/>
    <w:rsid w:val="00F362D7"/>
    <w:rsid w:val="00F37D7B"/>
    <w:rsid w:val="00F46A41"/>
    <w:rsid w:val="00F5314C"/>
    <w:rsid w:val="00F635DD"/>
    <w:rsid w:val="00F6627B"/>
    <w:rsid w:val="00F734F2"/>
    <w:rsid w:val="00F75052"/>
    <w:rsid w:val="00F804D3"/>
    <w:rsid w:val="00F81CD2"/>
    <w:rsid w:val="00F82641"/>
    <w:rsid w:val="00F90F18"/>
    <w:rsid w:val="00F937E4"/>
    <w:rsid w:val="00F95EE7"/>
    <w:rsid w:val="00FA39E6"/>
    <w:rsid w:val="00FA7BC9"/>
    <w:rsid w:val="00FB378E"/>
    <w:rsid w:val="00FB37F1"/>
    <w:rsid w:val="00FB3AF8"/>
    <w:rsid w:val="00FB47C0"/>
    <w:rsid w:val="00FB501B"/>
    <w:rsid w:val="00FB7770"/>
    <w:rsid w:val="00FC1F8E"/>
    <w:rsid w:val="00FC6D4B"/>
    <w:rsid w:val="00FD133E"/>
    <w:rsid w:val="00FD3B91"/>
    <w:rsid w:val="00FD576B"/>
    <w:rsid w:val="00FD579E"/>
    <w:rsid w:val="00FE4516"/>
    <w:rsid w:val="00FF635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B59D270-BC2C-4234-9186-AFD274208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25"/>
      </w:numPr>
      <w:outlineLvl w:val="0"/>
    </w:pPr>
    <w:rPr>
      <w:rFonts w:hAnsi="Arial"/>
      <w:bCs/>
      <w:kern w:val="32"/>
      <w:szCs w:val="52"/>
    </w:rPr>
  </w:style>
  <w:style w:type="paragraph" w:styleId="2">
    <w:name w:val="heading 2"/>
    <w:basedOn w:val="a6"/>
    <w:qFormat/>
    <w:rsid w:val="00ED0CAC"/>
    <w:pPr>
      <w:numPr>
        <w:ilvl w:val="1"/>
        <w:numId w:val="25"/>
      </w:numPr>
      <w:outlineLvl w:val="1"/>
    </w:pPr>
    <w:rPr>
      <w:rFonts w:hAnsi="Arial"/>
      <w:b/>
      <w:bCs/>
      <w:kern w:val="32"/>
      <w:szCs w:val="48"/>
    </w:rPr>
  </w:style>
  <w:style w:type="paragraph" w:styleId="3">
    <w:name w:val="heading 3"/>
    <w:basedOn w:val="a6"/>
    <w:link w:val="30"/>
    <w:qFormat/>
    <w:rsid w:val="004F5E57"/>
    <w:pPr>
      <w:numPr>
        <w:ilvl w:val="2"/>
        <w:numId w:val="25"/>
      </w:numPr>
      <w:outlineLvl w:val="2"/>
    </w:pPr>
    <w:rPr>
      <w:rFonts w:hAnsi="Arial"/>
      <w:bCs/>
      <w:kern w:val="32"/>
      <w:szCs w:val="36"/>
    </w:rPr>
  </w:style>
  <w:style w:type="paragraph" w:styleId="4">
    <w:name w:val="heading 4"/>
    <w:basedOn w:val="a6"/>
    <w:link w:val="40"/>
    <w:qFormat/>
    <w:rsid w:val="004F5E57"/>
    <w:pPr>
      <w:numPr>
        <w:ilvl w:val="3"/>
        <w:numId w:val="25"/>
      </w:numPr>
      <w:outlineLvl w:val="3"/>
    </w:pPr>
    <w:rPr>
      <w:rFonts w:hAnsi="Arial"/>
      <w:kern w:val="32"/>
      <w:szCs w:val="36"/>
    </w:rPr>
  </w:style>
  <w:style w:type="paragraph" w:styleId="5">
    <w:name w:val="heading 5"/>
    <w:basedOn w:val="a6"/>
    <w:qFormat/>
    <w:rsid w:val="004F5E57"/>
    <w:pPr>
      <w:numPr>
        <w:ilvl w:val="4"/>
        <w:numId w:val="25"/>
      </w:numPr>
      <w:outlineLvl w:val="4"/>
    </w:pPr>
    <w:rPr>
      <w:rFonts w:hAnsi="Arial"/>
      <w:bCs/>
      <w:kern w:val="32"/>
      <w:szCs w:val="36"/>
    </w:rPr>
  </w:style>
  <w:style w:type="paragraph" w:styleId="6">
    <w:name w:val="heading 6"/>
    <w:basedOn w:val="a6"/>
    <w:qFormat/>
    <w:rsid w:val="004F5E57"/>
    <w:pPr>
      <w:numPr>
        <w:ilvl w:val="5"/>
        <w:numId w:val="25"/>
      </w:numPr>
      <w:tabs>
        <w:tab w:val="left" w:pos="2094"/>
      </w:tabs>
      <w:outlineLvl w:val="5"/>
    </w:pPr>
    <w:rPr>
      <w:rFonts w:hAnsi="Arial"/>
      <w:kern w:val="32"/>
      <w:szCs w:val="36"/>
    </w:rPr>
  </w:style>
  <w:style w:type="paragraph" w:styleId="7">
    <w:name w:val="heading 7"/>
    <w:basedOn w:val="a6"/>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0">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1">
    <w:name w:val="toc 2"/>
    <w:basedOn w:val="a6"/>
    <w:next w:val="a6"/>
    <w:autoRedefine/>
    <w:uiPriority w:val="39"/>
    <w:rsid w:val="003B101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2">
    <w:name w:val="段落樣式3"/>
    <w:basedOn w:val="20"/>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1">
    <w:name w:val="段落樣式5"/>
    <w:basedOn w:val="42"/>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BC64F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footnote text"/>
    <w:basedOn w:val="a6"/>
    <w:link w:val="afb"/>
    <w:uiPriority w:val="99"/>
    <w:semiHidden/>
    <w:unhideWhenUsed/>
    <w:rsid w:val="00346DAE"/>
    <w:pPr>
      <w:overflowPunct/>
      <w:autoSpaceDE/>
      <w:autoSpaceDN/>
      <w:snapToGrid w:val="0"/>
      <w:jc w:val="left"/>
    </w:pPr>
    <w:rPr>
      <w:rFonts w:ascii="Times New Roman"/>
      <w:sz w:val="20"/>
    </w:rPr>
  </w:style>
  <w:style w:type="character" w:customStyle="1" w:styleId="afb">
    <w:name w:val="註腳文字 字元"/>
    <w:basedOn w:val="a7"/>
    <w:link w:val="afa"/>
    <w:uiPriority w:val="99"/>
    <w:semiHidden/>
    <w:rsid w:val="00346DAE"/>
    <w:rPr>
      <w:rFonts w:eastAsia="標楷體"/>
      <w:kern w:val="2"/>
    </w:rPr>
  </w:style>
  <w:style w:type="character" w:styleId="afc">
    <w:name w:val="footnote reference"/>
    <w:basedOn w:val="a7"/>
    <w:uiPriority w:val="99"/>
    <w:semiHidden/>
    <w:unhideWhenUsed/>
    <w:rsid w:val="00346DAE"/>
    <w:rPr>
      <w:vertAlign w:val="superscript"/>
    </w:rPr>
  </w:style>
  <w:style w:type="character" w:customStyle="1" w:styleId="30">
    <w:name w:val="標題 3 字元"/>
    <w:basedOn w:val="a7"/>
    <w:link w:val="3"/>
    <w:rsid w:val="00B80594"/>
    <w:rPr>
      <w:rFonts w:ascii="標楷體" w:eastAsia="標楷體" w:hAnsi="Arial"/>
      <w:bCs/>
      <w:kern w:val="32"/>
      <w:sz w:val="32"/>
      <w:szCs w:val="36"/>
    </w:rPr>
  </w:style>
  <w:style w:type="character" w:customStyle="1" w:styleId="40">
    <w:name w:val="標題 4 字元"/>
    <w:basedOn w:val="a7"/>
    <w:link w:val="4"/>
    <w:rsid w:val="00F46A41"/>
    <w:rPr>
      <w:rFonts w:ascii="標楷體" w:eastAsia="標楷體" w:hAnsi="Arial"/>
      <w:kern w:val="32"/>
      <w:sz w:val="32"/>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1.tif"/><Relationship Id="rId4" Type="http://schemas.openxmlformats.org/officeDocument/2006/relationships/styles" Target="style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0272D4-7418-4D23-B086-767D98E31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2</TotalTime>
  <Pages>10</Pages>
  <Words>693</Words>
  <Characters>3952</Characters>
  <Application>Microsoft Office Word</Application>
  <DocSecurity>0</DocSecurity>
  <Lines>32</Lines>
  <Paragraphs>9</Paragraphs>
  <ScaleCrop>false</ScaleCrop>
  <Company>cy</Company>
  <LinksUpToDate>false</LinksUpToDate>
  <CharactersWithSpaces>4636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黃冠豪</dc:creator>
  <cp:lastModifiedBy>曾莉雯</cp:lastModifiedBy>
  <cp:revision>4</cp:revision>
  <cp:lastPrinted>2015-06-11T03:52:00Z</cp:lastPrinted>
  <dcterms:created xsi:type="dcterms:W3CDTF">2020-05-06T01:37:00Z</dcterms:created>
  <dcterms:modified xsi:type="dcterms:W3CDTF">2020-05-19T07:57:00Z</dcterms:modified>
</cp:coreProperties>
</file>